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ascii="黑体" w:hAnsi="Times New Roman" w:eastAsia="黑体"/>
          <w:kern w:val="0"/>
        </w:rPr>
      </w:pPr>
      <w:r>
        <w:rPr>
          <w:rFonts w:hint="eastAsia" w:ascii="黑体" w:hAnsi="Times New Roman" w:eastAsia="黑体"/>
          <w:kern w:val="0"/>
        </w:rPr>
        <w:t>附表1</w:t>
      </w:r>
    </w:p>
    <w:p>
      <w:pPr>
        <w:adjustRightInd w:val="0"/>
        <w:snapToGrid w:val="0"/>
        <w:jc w:val="center"/>
        <w:rPr>
          <w:rFonts w:ascii="方正小标宋_GBK" w:hAnsi="华文中宋" w:eastAsia="方正小标宋_GBK"/>
          <w:sz w:val="38"/>
          <w:szCs w:val="38"/>
        </w:rPr>
      </w:pPr>
      <w:r>
        <w:rPr>
          <w:rFonts w:hint="eastAsia" w:ascii="方正小标宋_GBK" w:hAnsi="华文中宋" w:eastAsia="方正小标宋_GBK"/>
          <w:sz w:val="38"/>
          <w:szCs w:val="38"/>
        </w:rPr>
        <w:t>企业事业单位突发环境事件应急预案评审表</w:t>
      </w:r>
    </w:p>
    <w:tbl>
      <w:tblPr>
        <w:tblStyle w:val="13"/>
        <w:tblW w:w="13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669"/>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8"/>
            <w:vAlign w:val="center"/>
          </w:tcPr>
          <w:p>
            <w:pPr>
              <w:adjustRightInd w:val="0"/>
              <w:snapToGrid w:val="0"/>
              <w:jc w:val="left"/>
              <w:rPr>
                <w:rFonts w:hint="eastAsia" w:ascii="宋体" w:hAnsi="宋体" w:eastAsia="仿宋_GB2312"/>
                <w:b/>
                <w:bCs/>
                <w:sz w:val="21"/>
                <w:szCs w:val="21"/>
                <w:u w:val="single"/>
                <w:lang w:val="en-US" w:eastAsia="zh-CN"/>
              </w:rPr>
            </w:pPr>
            <w:r>
              <w:rPr>
                <w:rFonts w:hint="eastAsia" w:ascii="宋体" w:hAnsi="宋体"/>
                <w:sz w:val="21"/>
                <w:szCs w:val="21"/>
              </w:rPr>
              <w:t>预案编制单位：</w:t>
            </w:r>
            <w:r>
              <w:rPr>
                <w:rFonts w:hint="eastAsia" w:ascii="宋体" w:hAnsi="宋体"/>
                <w:sz w:val="21"/>
                <w:szCs w:val="21"/>
                <w:u w:val="single"/>
                <w:lang w:val="en-US" w:eastAsia="zh-CN"/>
              </w:rPr>
              <w:t xml:space="preserve"> </w:t>
            </w:r>
            <w:r>
              <w:rPr>
                <w:rFonts w:hint="eastAsia" w:ascii="宋体" w:hAnsi="宋体" w:cs="Times New Roman"/>
                <w:b/>
                <w:bCs/>
                <w:sz w:val="21"/>
                <w:szCs w:val="21"/>
                <w:u w:val="single"/>
                <w:lang w:val="en-US" w:eastAsia="zh-CN"/>
              </w:rPr>
              <w:t>陕西西咸新区盛龙汽车有限</w:t>
            </w:r>
            <w:r>
              <w:rPr>
                <w:rFonts w:hint="eastAsia" w:ascii="宋体" w:hAnsi="宋体" w:cs="Times New Roman"/>
                <w:b/>
                <w:bCs/>
                <w:sz w:val="21"/>
                <w:szCs w:val="21"/>
                <w:u w:val="single"/>
                <w:lang w:val="zh-CN"/>
              </w:rPr>
              <w:t>公司</w:t>
            </w:r>
            <w:r>
              <w:rPr>
                <w:rFonts w:hint="eastAsia" w:ascii="宋体" w:hAnsi="宋体" w:cs="Times New Roman"/>
                <w:b/>
                <w:bCs/>
                <w:sz w:val="21"/>
                <w:szCs w:val="21"/>
                <w:u w:val="single"/>
                <w:lang w:val="en-US" w:eastAsia="zh-CN"/>
              </w:rPr>
              <w:t xml:space="preserve"> </w:t>
            </w:r>
          </w:p>
          <w:p>
            <w:pPr>
              <w:adjustRightInd w:val="0"/>
              <w:snapToGrid w:val="0"/>
              <w:jc w:val="left"/>
              <w:rPr>
                <w:rFonts w:ascii="宋体" w:hAnsi="宋体"/>
                <w:sz w:val="21"/>
                <w:szCs w:val="21"/>
              </w:rPr>
            </w:pPr>
            <w:r>
              <w:rPr>
                <w:rFonts w:hint="eastAsia" w:ascii="宋体" w:hAnsi="宋体"/>
                <w:sz w:val="21"/>
                <w:szCs w:val="21"/>
              </w:rPr>
              <w:t>企业环境风险级别：</w:t>
            </w:r>
            <w:r>
              <w:rPr>
                <w:rFonts w:hint="eastAsia" w:ascii="宋体" w:hAnsi="宋体"/>
                <w:sz w:val="21"/>
                <w:szCs w:val="21"/>
                <w:lang w:eastAsia="zh-CN"/>
              </w:rPr>
              <w:t>☑</w:t>
            </w:r>
            <w:r>
              <w:rPr>
                <w:rFonts w:hint="eastAsia" w:ascii="宋体" w:hAnsi="宋体"/>
                <w:sz w:val="21"/>
                <w:szCs w:val="21"/>
              </w:rPr>
              <w:t>一般；□较大；□重大</w:t>
            </w:r>
          </w:p>
          <w:p>
            <w:pPr>
              <w:adjustRightInd w:val="0"/>
              <w:snapToGrid w:val="0"/>
              <w:spacing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79" w:type="dxa"/>
            <w:gridSpan w:val="3"/>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  定</w:t>
            </w:r>
          </w:p>
        </w:tc>
        <w:tc>
          <w:tcPr>
            <w:tcW w:w="1276" w:type="dxa"/>
            <w:gridSpan w:val="3"/>
            <w:vAlign w:val="center"/>
          </w:tcPr>
          <w:p>
            <w:pPr>
              <w:adjustRightInd w:val="0"/>
              <w:snapToGrid w:val="0"/>
              <w:jc w:val="center"/>
              <w:rPr>
                <w:rFonts w:ascii="宋体" w:hAnsi="宋体"/>
                <w:sz w:val="21"/>
                <w:szCs w:val="21"/>
              </w:rPr>
            </w:pPr>
            <w:r>
              <w:rPr>
                <w:rFonts w:hint="eastAsia" w:ascii="宋体" w:hAnsi="宋体"/>
                <w:sz w:val="21"/>
                <w:szCs w:val="21"/>
              </w:rPr>
              <w:t>说  明</w:t>
            </w:r>
          </w:p>
        </w:tc>
        <w:tc>
          <w:tcPr>
            <w:tcW w:w="4850" w:type="dxa"/>
            <w:vMerge w:val="continue"/>
            <w:vAlign w:val="center"/>
          </w:tcPr>
          <w:p>
            <w:pPr>
              <w:adjustRightInd w:val="0"/>
              <w:snapToGrid w:val="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有单独的环境风险评估报告和环境应急资源调查报告（表）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突发事件应急预案管理办法有关规定；</w:t>
            </w:r>
          </w:p>
          <w:p>
            <w:pPr>
              <w:adjustRightInd w:val="0"/>
              <w:snapToGrid w:val="0"/>
              <w:rPr>
                <w:rFonts w:ascii="宋体" w:hAnsi="宋体"/>
                <w:sz w:val="21"/>
                <w:szCs w:val="21"/>
              </w:rPr>
            </w:pPr>
            <w:r>
              <w:rPr>
                <w:rFonts w:hint="eastAsia" w:ascii="宋体" w:hAnsi="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79" w:type="dxa"/>
            <w:gridSpan w:val="3"/>
            <w:vAlign w:val="center"/>
          </w:tcPr>
          <w:p>
            <w:pPr>
              <w:adjustRightInd w:val="0"/>
              <w:snapToGrid w:val="0"/>
              <w:jc w:val="left"/>
              <w:rPr>
                <w:rFonts w:ascii="宋体" w:hAnsi="宋体"/>
                <w:spacing w:val="-4"/>
                <w:sz w:val="21"/>
                <w:szCs w:val="21"/>
              </w:rPr>
            </w:pPr>
            <w:r>
              <w:rPr>
                <w:rFonts w:hint="eastAsia" w:ascii="宋体" w:hAnsi="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突发事件应对法有关规定；</w:t>
            </w:r>
          </w:p>
          <w:p>
            <w:pPr>
              <w:adjustRightInd w:val="0"/>
              <w:snapToGrid w:val="0"/>
              <w:rPr>
                <w:rFonts w:ascii="宋体" w:hAnsi="宋体"/>
                <w:sz w:val="21"/>
                <w:szCs w:val="21"/>
              </w:rPr>
            </w:pPr>
            <w:r>
              <w:rPr>
                <w:rFonts w:hint="eastAsia" w:ascii="宋体" w:hAnsi="宋体"/>
                <w:sz w:val="21"/>
                <w:szCs w:val="21"/>
              </w:rPr>
              <w:t>备案管理办法第九、十条，均对企业从可能的突发环境事件情景出发编制环境应急预案提出了要求；</w:t>
            </w:r>
          </w:p>
          <w:p>
            <w:pPr>
              <w:adjustRightInd w:val="0"/>
              <w:snapToGrid w:val="0"/>
              <w:rPr>
                <w:rFonts w:ascii="宋体" w:hAnsi="宋体"/>
                <w:sz w:val="21"/>
                <w:szCs w:val="21"/>
              </w:rPr>
            </w:pPr>
            <w:r>
              <w:rPr>
                <w:rFonts w:hint="eastAsia" w:ascii="宋体" w:hAnsi="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能够让周边居民和单位获得事件信息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评审项目</w:t>
            </w:r>
          </w:p>
        </w:tc>
        <w:tc>
          <w:tcPr>
            <w:tcW w:w="5245" w:type="dxa"/>
            <w:gridSpan w:val="2"/>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sz w:val="21"/>
                <w:szCs w:val="21"/>
              </w:rPr>
            </w:pPr>
          </w:p>
        </w:tc>
        <w:tc>
          <w:tcPr>
            <w:tcW w:w="5245" w:type="dxa"/>
            <w:gridSpan w:val="2"/>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判定</w:t>
            </w:r>
          </w:p>
        </w:tc>
        <w:tc>
          <w:tcPr>
            <w:tcW w:w="567" w:type="dxa"/>
            <w:vAlign w:val="center"/>
          </w:tcPr>
          <w:p>
            <w:pPr>
              <w:adjustRightInd w:val="0"/>
              <w:snapToGrid w:val="0"/>
              <w:jc w:val="center"/>
              <w:rPr>
                <w:rFonts w:ascii="宋体" w:hAnsi="宋体"/>
                <w:sz w:val="21"/>
                <w:szCs w:val="21"/>
              </w:rPr>
            </w:pPr>
            <w:r>
              <w:rPr>
                <w:rFonts w:hint="eastAsia" w:ascii="宋体" w:hAnsi="宋体"/>
                <w:sz w:val="21"/>
                <w:szCs w:val="21"/>
              </w:rPr>
              <w:t>得分</w:t>
            </w:r>
          </w:p>
        </w:tc>
        <w:tc>
          <w:tcPr>
            <w:tcW w:w="709" w:type="dxa"/>
            <w:gridSpan w:val="2"/>
            <w:vAlign w:val="center"/>
          </w:tcPr>
          <w:p>
            <w:pPr>
              <w:adjustRightInd w:val="0"/>
              <w:snapToGrid w:val="0"/>
              <w:jc w:val="center"/>
              <w:rPr>
                <w:rFonts w:ascii="宋体" w:hAnsi="宋体"/>
                <w:sz w:val="21"/>
                <w:szCs w:val="21"/>
              </w:rPr>
            </w:pPr>
            <w:r>
              <w:rPr>
                <w:rFonts w:hint="eastAsia" w:ascii="宋体" w:hAnsi="宋体"/>
                <w:sz w:val="21"/>
                <w:szCs w:val="21"/>
              </w:rPr>
              <w:t>说明</w:t>
            </w:r>
          </w:p>
        </w:tc>
        <w:tc>
          <w:tcPr>
            <w:tcW w:w="4850" w:type="dxa"/>
            <w:vMerge w:val="continue"/>
            <w:vAlign w:val="center"/>
          </w:tcPr>
          <w:p>
            <w:pPr>
              <w:adjustRightInd w:val="0"/>
              <w:snapToGrid w:val="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封面目录</w:t>
            </w:r>
          </w:p>
        </w:tc>
        <w:tc>
          <w:tcPr>
            <w:tcW w:w="426" w:type="dxa"/>
            <w:vAlign w:val="center"/>
          </w:tcPr>
          <w:p>
            <w:pPr>
              <w:pStyle w:val="26"/>
              <w:keepNext/>
              <w:keepLines/>
              <w:adjustRightInd w:val="0"/>
              <w:snapToGrid w:val="0"/>
              <w:ind w:firstLine="0" w:firstLineChars="0"/>
              <w:jc w:val="center"/>
              <w:rPr>
                <w:rFonts w:ascii="宋体" w:hAnsi="宋体"/>
                <w:sz w:val="21"/>
                <w:szCs w:val="21"/>
                <w:vertAlign w:val="superscript"/>
              </w:rPr>
            </w:pPr>
            <w:r>
              <w:rPr>
                <w:rFonts w:hint="eastAsia" w:ascii="宋体" w:hAnsi="宋体"/>
                <w:sz w:val="21"/>
                <w:szCs w:val="21"/>
              </w:rPr>
              <w:t>1</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封面有环境应急预案、预案编制单位名称，预留正式发布预案的版本号、发布日期等设计；</w:t>
            </w:r>
          </w:p>
          <w:p>
            <w:pPr>
              <w:adjustRightInd w:val="0"/>
              <w:snapToGrid w:val="0"/>
              <w:rPr>
                <w:rFonts w:ascii="宋体" w:hAnsi="宋体"/>
                <w:sz w:val="21"/>
                <w:szCs w:val="21"/>
              </w:rPr>
            </w:pPr>
            <w:r>
              <w:rPr>
                <w:rFonts w:hint="eastAsia" w:ascii="宋体" w:hAnsi="宋体"/>
                <w:sz w:val="21"/>
                <w:szCs w:val="21"/>
              </w:rPr>
              <w:t>目录有编号、标题和页码，一般至少设置两级目录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hint="default" w:ascii="宋体" w:hAnsi="宋体" w:eastAsia="仿宋_GB2312"/>
                <w:sz w:val="21"/>
                <w:szCs w:val="21"/>
                <w:lang w:val="en-US" w:eastAsia="zh-CN"/>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预案版本号指为便于索引、回溯而在发布时赋予预案的标识号，企业可以按照内部技术文件版本号管理要求执行；</w:t>
            </w:r>
          </w:p>
          <w:p>
            <w:pPr>
              <w:adjustRightInd w:val="0"/>
              <w:snapToGrid w:val="0"/>
              <w:rPr>
                <w:rFonts w:ascii="宋体" w:hAnsi="宋体"/>
                <w:sz w:val="21"/>
                <w:szCs w:val="21"/>
              </w:rPr>
            </w:pPr>
            <w:r>
              <w:rPr>
                <w:rFonts w:hint="eastAsia" w:ascii="宋体" w:hAnsi="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结构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结构完整，格式规范</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hint="default" w:ascii="宋体" w:hAnsi="宋体" w:eastAsia="仿宋_GB2312"/>
                <w:sz w:val="21"/>
                <w:szCs w:val="21"/>
                <w:lang w:val="en-US" w:eastAsia="zh-CN"/>
              </w:rPr>
            </w:pPr>
            <w:r>
              <w:rPr>
                <w:rFonts w:hint="eastAsia" w:ascii="宋体" w:hAnsi="宋体"/>
                <w:sz w:val="21"/>
                <w:szCs w:val="21"/>
                <w:lang w:val="en-US" w:eastAsia="zh-CN"/>
              </w:rPr>
              <w:t>0.5</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结构完整指预案文件布局合理、层次分明，无错漏章节、段落；正文对附件的引用、说明等，与附件索引、附件一致；</w:t>
            </w:r>
          </w:p>
          <w:p>
            <w:pPr>
              <w:adjustRightInd w:val="0"/>
              <w:snapToGrid w:val="0"/>
              <w:rPr>
                <w:rFonts w:ascii="宋体" w:hAnsi="宋体"/>
                <w:sz w:val="21"/>
                <w:szCs w:val="21"/>
              </w:rPr>
            </w:pPr>
            <w:r>
              <w:rPr>
                <w:rFonts w:hint="eastAsia" w:ascii="宋体" w:hAnsi="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行文</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文字准确，语言通顺，内容简明</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文字准确是指无明显错别字、多字、漏字、语句错误、数据错误、时间错误等现象；</w:t>
            </w:r>
          </w:p>
          <w:p>
            <w:pPr>
              <w:adjustRightInd w:val="0"/>
              <w:snapToGrid w:val="0"/>
              <w:rPr>
                <w:rFonts w:ascii="宋体" w:hAnsi="宋体"/>
                <w:sz w:val="21"/>
                <w:szCs w:val="21"/>
              </w:rPr>
            </w:pPr>
            <w:r>
              <w:rPr>
                <w:rFonts w:hint="eastAsia" w:ascii="宋体" w:hAnsi="宋体"/>
                <w:sz w:val="21"/>
                <w:szCs w:val="21"/>
              </w:rPr>
              <w:t>语言通顺是指语言规范、连贯、易懂，合乎事理逻辑，关键内容不会产生歧义等；</w:t>
            </w:r>
          </w:p>
          <w:p>
            <w:pPr>
              <w:adjustRightInd w:val="0"/>
              <w:snapToGrid w:val="0"/>
              <w:rPr>
                <w:rFonts w:ascii="宋体" w:hAnsi="宋体"/>
                <w:sz w:val="21"/>
                <w:szCs w:val="21"/>
              </w:rPr>
            </w:pPr>
            <w:r>
              <w:rPr>
                <w:rFonts w:hint="eastAsia" w:ascii="宋体" w:hAnsi="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1"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过程说明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说清预案编修过程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highlight w:val="yellow"/>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highlight w:val="yellow"/>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highlight w:val="yellow"/>
              </w:rPr>
            </w:pPr>
          </w:p>
        </w:tc>
        <w:tc>
          <w:tcPr>
            <w:tcW w:w="4850" w:type="dxa"/>
            <w:vAlign w:val="center"/>
          </w:tcPr>
          <w:p>
            <w:pPr>
              <w:adjustRightInd w:val="0"/>
              <w:snapToGrid w:val="0"/>
              <w:rPr>
                <w:rFonts w:ascii="宋体" w:hAnsi="宋体"/>
                <w:sz w:val="21"/>
                <w:szCs w:val="21"/>
                <w:highlight w:val="yellow"/>
              </w:rPr>
            </w:pPr>
            <w:r>
              <w:rPr>
                <w:rFonts w:hint="eastAsia" w:ascii="宋体" w:hAnsi="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问题说明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w:t>
            </w:r>
            <w:r>
              <w:rPr>
                <w:rFonts w:hint="eastAsia" w:ascii="宋体" w:hAnsi="宋体"/>
                <w:sz w:val="21"/>
                <w:szCs w:val="21"/>
                <w:vertAlign w:val="superscript"/>
              </w:rPr>
              <w:t>a</w:t>
            </w:r>
          </w:p>
        </w:tc>
        <w:tc>
          <w:tcPr>
            <w:tcW w:w="4819" w:type="dxa"/>
            <w:vAlign w:val="center"/>
          </w:tcPr>
          <w:p>
            <w:pPr>
              <w:adjustRightInd w:val="0"/>
              <w:snapToGrid w:val="0"/>
              <w:rPr>
                <w:rFonts w:ascii="宋体" w:hAnsi="宋体"/>
                <w:spacing w:val="-2"/>
                <w:sz w:val="21"/>
                <w:szCs w:val="21"/>
              </w:rPr>
            </w:pPr>
            <w:r>
              <w:rPr>
                <w:rFonts w:hint="eastAsia" w:ascii="宋体" w:hAnsi="宋体"/>
                <w:spacing w:val="-2"/>
                <w:sz w:val="21"/>
                <w:szCs w:val="21"/>
              </w:rPr>
              <w:t>说明意见建议及采纳情况、演练暴露问题及解决措施</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编制目的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6</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此三项为预案的总纲。</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sz w:val="21"/>
                <w:szCs w:val="21"/>
              </w:rPr>
            </w:pPr>
            <w:r>
              <w:rPr>
                <w:rFonts w:hint="eastAsia" w:ascii="宋体" w:hAnsi="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适用范围</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明确：预案适用的主体、地理或管理范围、事件类别、工作内容</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工作原则</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8</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应急预案</w:t>
            </w:r>
          </w:p>
          <w:p>
            <w:pPr>
              <w:adjustRightInd w:val="0"/>
              <w:snapToGrid w:val="0"/>
              <w:jc w:val="center"/>
              <w:rPr>
                <w:rFonts w:ascii="宋体" w:hAnsi="宋体"/>
                <w:sz w:val="21"/>
                <w:szCs w:val="21"/>
              </w:rPr>
            </w:pPr>
            <w:r>
              <w:rPr>
                <w:rFonts w:hint="eastAsia" w:ascii="宋体" w:hAnsi="宋体"/>
                <w:sz w:val="21"/>
                <w:szCs w:val="21"/>
              </w:rPr>
              <w:t>体系</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9</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sz w:val="21"/>
                <w:szCs w:val="21"/>
              </w:rPr>
            </w:pPr>
            <w:r>
              <w:rPr>
                <w:rFonts w:hint="eastAsia" w:ascii="宋体" w:hAnsi="宋体"/>
                <w:sz w:val="21"/>
                <w:szCs w:val="21"/>
              </w:rPr>
              <w:sym w:font="Wingdings 2" w:char="0052"/>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2</w:t>
            </w:r>
          </w:p>
        </w:tc>
        <w:tc>
          <w:tcPr>
            <w:tcW w:w="669" w:type="dxa"/>
          </w:tcPr>
          <w:p>
            <w:pPr>
              <w:keepNext/>
              <w:keepLines/>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sz w:val="21"/>
                <w:szCs w:val="21"/>
              </w:rPr>
            </w:pPr>
            <w:r>
              <w:rPr>
                <w:rFonts w:hint="eastAsia" w:ascii="宋体" w:hAnsi="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sz w:val="21"/>
                <w:szCs w:val="21"/>
              </w:rPr>
            </w:pPr>
            <w:r>
              <w:rPr>
                <w:rFonts w:hint="eastAsia" w:ascii="宋体" w:hAnsi="宋体"/>
                <w:sz w:val="21"/>
                <w:szCs w:val="21"/>
              </w:rPr>
              <w:t>环境应急预案定位于控制并减轻、消除污染，与企业内部生产安全事故预案等其他预案清晰界定、相互支持。</w:t>
            </w:r>
          </w:p>
          <w:p>
            <w:pPr>
              <w:adjustRightInd w:val="0"/>
              <w:snapToGrid w:val="0"/>
              <w:rPr>
                <w:rFonts w:ascii="宋体" w:hAnsi="宋体"/>
                <w:sz w:val="21"/>
                <w:szCs w:val="21"/>
              </w:rPr>
            </w:pPr>
            <w:r>
              <w:rPr>
                <w:rFonts w:hint="eastAsia" w:ascii="宋体" w:hAnsi="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不符合</w:t>
            </w:r>
          </w:p>
        </w:tc>
        <w:tc>
          <w:tcPr>
            <w:tcW w:w="607" w:type="dxa"/>
            <w:gridSpan w:val="2"/>
          </w:tcPr>
          <w:p>
            <w:pPr>
              <w:adjustRightInd w:val="0"/>
              <w:snapToGrid w:val="0"/>
              <w:rPr>
                <w:rFonts w:hint="default" w:ascii="宋体" w:hAnsi="宋体" w:eastAsia="仿宋_GB2312"/>
                <w:sz w:val="21"/>
                <w:szCs w:val="21"/>
                <w:lang w:val="en-US" w:eastAsia="zh-CN"/>
              </w:rPr>
            </w:pPr>
            <w:r>
              <w:rPr>
                <w:rFonts w:hint="eastAsia" w:ascii="宋体" w:hAnsi="宋体"/>
                <w:sz w:val="21"/>
                <w:szCs w:val="21"/>
                <w:lang w:val="en-US" w:eastAsia="zh-CN"/>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restart"/>
            <w:vAlign w:val="center"/>
          </w:tcPr>
          <w:p>
            <w:pPr>
              <w:adjustRightInd w:val="0"/>
              <w:snapToGrid w:val="0"/>
              <w:jc w:val="center"/>
              <w:rPr>
                <w:rFonts w:ascii="宋体" w:hAnsi="宋体"/>
                <w:color w:val="000000"/>
                <w:kern w:val="0"/>
                <w:sz w:val="21"/>
                <w:szCs w:val="21"/>
                <w:lang w:val="zh-CN"/>
              </w:rPr>
            </w:pPr>
            <w:r>
              <w:rPr>
                <w:rFonts w:hint="eastAsia" w:ascii="宋体" w:hAnsi="宋体"/>
                <w:sz w:val="21"/>
                <w:szCs w:val="21"/>
              </w:rPr>
              <w:t>组织指挥机制</w:t>
            </w: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sz w:val="21"/>
                <w:szCs w:val="21"/>
              </w:rPr>
            </w:pPr>
            <w:r>
              <w:rPr>
                <w:rFonts w:hint="eastAsia" w:ascii="宋体" w:hAnsi="宋体"/>
                <w:sz w:val="21"/>
                <w:szCs w:val="21"/>
              </w:rPr>
              <w:t>组织指挥机制</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监测预警</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17</w:t>
            </w:r>
          </w:p>
        </w:tc>
        <w:tc>
          <w:tcPr>
            <w:tcW w:w="4819" w:type="dxa"/>
            <w:vAlign w:val="center"/>
          </w:tcPr>
          <w:p>
            <w:pPr>
              <w:adjustRightInd w:val="0"/>
              <w:snapToGrid w:val="0"/>
              <w:rPr>
                <w:rFonts w:ascii="宋体" w:hAnsi="宋体"/>
                <w:sz w:val="21"/>
                <w:szCs w:val="21"/>
              </w:rPr>
            </w:pPr>
            <w:r>
              <w:rPr>
                <w:rFonts w:hint="eastAsia" w:ascii="宋体" w:hAnsi="宋体"/>
                <w:sz w:val="21"/>
                <w:szCs w:val="21"/>
              </w:rPr>
              <w:t>建立企业内部监控预警方案</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根据</w:t>
            </w:r>
            <w:r>
              <w:rPr>
                <w:rFonts w:ascii="宋体" w:hAnsi="宋体"/>
                <w:sz w:val="21"/>
                <w:szCs w:val="21"/>
              </w:rPr>
              <w:t>企业</w:t>
            </w:r>
            <w:r>
              <w:rPr>
                <w:rFonts w:hint="eastAsia" w:ascii="宋体" w:hAnsi="宋体"/>
                <w:sz w:val="21"/>
                <w:szCs w:val="21"/>
              </w:rPr>
              <w:t>可能面临事件情景</w:t>
            </w:r>
            <w:r>
              <w:rPr>
                <w:rFonts w:ascii="宋体" w:hAnsi="宋体"/>
                <w:sz w:val="21"/>
                <w:szCs w:val="21"/>
              </w:rPr>
              <w:t>，</w:t>
            </w:r>
            <w:r>
              <w:rPr>
                <w:rFonts w:hint="eastAsia" w:ascii="宋体" w:hAnsi="宋体"/>
                <w:sz w:val="21"/>
                <w:szCs w:val="21"/>
              </w:rPr>
              <w:t>结合事件危害程度、紧急程度和发展态势</w:t>
            </w:r>
            <w:r>
              <w:rPr>
                <w:rFonts w:ascii="宋体" w:hAnsi="宋体"/>
                <w:sz w:val="21"/>
                <w:szCs w:val="21"/>
              </w:rPr>
              <w:t>，</w:t>
            </w:r>
            <w:r>
              <w:rPr>
                <w:rFonts w:hint="eastAsia" w:ascii="宋体" w:hAnsi="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18</w:t>
            </w:r>
          </w:p>
        </w:tc>
        <w:tc>
          <w:tcPr>
            <w:tcW w:w="4819" w:type="dxa"/>
            <w:vAlign w:val="center"/>
          </w:tcPr>
          <w:p>
            <w:pPr>
              <w:adjustRightInd w:val="0"/>
              <w:snapToGrid w:val="0"/>
              <w:rPr>
                <w:rFonts w:ascii="宋体" w:hAnsi="宋体"/>
                <w:sz w:val="21"/>
                <w:szCs w:val="21"/>
              </w:rPr>
            </w:pPr>
            <w:r>
              <w:rPr>
                <w:rFonts w:hint="eastAsia" w:ascii="宋体" w:hAnsi="宋体"/>
                <w:sz w:val="21"/>
                <w:szCs w:val="21"/>
              </w:rPr>
              <w:t>明确监控信息的获得途径和分析研判的方式方法</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监控信息的获得途径，例如极端天气等自然灾害、生产安全事故等事故灾难、相关监控监测信息等；</w:t>
            </w:r>
          </w:p>
          <w:p>
            <w:pPr>
              <w:adjustRightInd w:val="0"/>
              <w:snapToGrid w:val="0"/>
              <w:jc w:val="left"/>
              <w:rPr>
                <w:rFonts w:ascii="宋体" w:hAnsi="宋体"/>
                <w:sz w:val="21"/>
                <w:szCs w:val="21"/>
              </w:rPr>
            </w:pPr>
            <w:r>
              <w:rPr>
                <w:rFonts w:hint="eastAsia" w:ascii="宋体" w:hAnsi="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sz w:val="21"/>
                <w:szCs w:val="21"/>
              </w:rPr>
            </w:pPr>
            <w:r>
              <w:rPr>
                <w:rFonts w:hint="eastAsia" w:ascii="宋体" w:hAnsi="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信息报告</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应急监测</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23</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涉大气污染的，说明排放口和厂界气体监测的一般原则</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sz w:val="21"/>
                <w:szCs w:val="21"/>
              </w:rPr>
            </w:pPr>
            <w:r>
              <w:rPr>
                <w:rFonts w:hint="eastAsia" w:ascii="宋体" w:hAnsi="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24</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监测方案一般应明确监测项目、采样（监测）人员、监测设备、监测频次等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应对流程和措施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27</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根据环境风险评估报告中的风险分析和情景构建内容，说明应对流程和措施，体现：企业内部控制污染源</w:t>
            </w:r>
            <w:r>
              <w:rPr>
                <w:rFonts w:ascii="宋体" w:hAnsi="宋体"/>
                <w:sz w:val="21"/>
                <w:szCs w:val="21"/>
              </w:rPr>
              <w:t>-</w:t>
            </w:r>
            <w:r>
              <w:rPr>
                <w:rFonts w:hint="eastAsia" w:ascii="宋体" w:hAnsi="宋体"/>
                <w:sz w:val="21"/>
                <w:szCs w:val="21"/>
              </w:rPr>
              <w:t>研判污染范围</w:t>
            </w:r>
            <w:r>
              <w:rPr>
                <w:rFonts w:ascii="宋体" w:hAnsi="宋体"/>
                <w:sz w:val="21"/>
                <w:szCs w:val="21"/>
              </w:rPr>
              <w:t>-</w:t>
            </w:r>
            <w:r>
              <w:rPr>
                <w:rFonts w:hint="eastAsia" w:ascii="宋体" w:hAnsi="宋体"/>
                <w:sz w:val="21"/>
                <w:szCs w:val="21"/>
              </w:rPr>
              <w:t>控制污染扩散</w:t>
            </w:r>
            <w:r>
              <w:rPr>
                <w:rFonts w:ascii="宋体" w:hAnsi="宋体"/>
                <w:sz w:val="21"/>
                <w:szCs w:val="21"/>
              </w:rPr>
              <w:t>-</w:t>
            </w:r>
            <w:r>
              <w:rPr>
                <w:rFonts w:hint="eastAsia" w:ascii="宋体" w:hAnsi="宋体"/>
                <w:sz w:val="21"/>
                <w:szCs w:val="21"/>
              </w:rPr>
              <w:t>污染处置应对流程和措施</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restart"/>
          </w:tcPr>
          <w:p>
            <w:pPr>
              <w:adjustRightInd w:val="0"/>
              <w:snapToGrid w:val="0"/>
              <w:rPr>
                <w:rFonts w:ascii="宋体" w:hAnsi="宋体"/>
                <w:sz w:val="21"/>
                <w:szCs w:val="21"/>
              </w:rPr>
            </w:pPr>
            <w:r>
              <w:rPr>
                <w:rFonts w:hint="eastAsia" w:ascii="宋体" w:hAnsi="宋体"/>
                <w:sz w:val="21"/>
                <w:szCs w:val="21"/>
              </w:rPr>
              <w:t>1.5</w:t>
            </w:r>
          </w:p>
        </w:tc>
        <w:tc>
          <w:tcPr>
            <w:tcW w:w="669" w:type="dxa"/>
            <w:vMerge w:val="restart"/>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28</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continue"/>
          </w:tcPr>
          <w:p>
            <w:pPr>
              <w:adjustRightInd w:val="0"/>
              <w:snapToGrid w:val="0"/>
              <w:rPr>
                <w:rFonts w:ascii="宋体" w:hAnsi="宋体"/>
                <w:sz w:val="21"/>
                <w:szCs w:val="21"/>
              </w:rPr>
            </w:pPr>
          </w:p>
        </w:tc>
        <w:tc>
          <w:tcPr>
            <w:tcW w:w="669" w:type="dxa"/>
            <w:vMerge w:val="continue"/>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29</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1.5</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30</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31</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1.5</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32</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将应急措施细化、落实到岗位，形成应急处置卡</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配有厂区平面布置图，应急物资表</w:t>
            </w:r>
            <w:r>
              <w:rPr>
                <w:rFonts w:ascii="宋体" w:hAnsi="宋体"/>
                <w:sz w:val="21"/>
                <w:szCs w:val="21"/>
              </w:rPr>
              <w:t>/</w:t>
            </w:r>
            <w:r>
              <w:rPr>
                <w:rFonts w:hint="eastAsia" w:ascii="宋体" w:hAnsi="宋体"/>
                <w:sz w:val="21"/>
                <w:szCs w:val="21"/>
              </w:rPr>
              <w:t>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应急终止</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结合本单位实际，说明应急终止的条件和发布程序</w:t>
            </w:r>
          </w:p>
        </w:tc>
        <w:tc>
          <w:tcPr>
            <w:tcW w:w="1276" w:type="dxa"/>
            <w:vAlign w:val="center"/>
          </w:tcPr>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不符合</w:t>
            </w:r>
          </w:p>
        </w:tc>
        <w:tc>
          <w:tcPr>
            <w:tcW w:w="607" w:type="dxa"/>
            <w:gridSpan w:val="2"/>
          </w:tcPr>
          <w:p>
            <w:pPr>
              <w:keepNext/>
              <w:keepLines/>
              <w:adjustRightInd w:val="0"/>
              <w:snapToGrid w:val="0"/>
              <w:rPr>
                <w:rFonts w:hint="default" w:ascii="宋体" w:hAnsi="宋体" w:eastAsia="仿宋_GB2312"/>
                <w:sz w:val="21"/>
                <w:szCs w:val="21"/>
                <w:lang w:val="en-US" w:eastAsia="zh-CN"/>
              </w:rPr>
            </w:pPr>
            <w:r>
              <w:rPr>
                <w:rFonts w:hint="eastAsia" w:ascii="宋体" w:hAnsi="宋体"/>
                <w:sz w:val="21"/>
                <w:szCs w:val="21"/>
                <w:lang w:val="en-US" w:eastAsia="zh-CN"/>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事后恢复</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保障措施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预案管理</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安排有关环境应急预案的培训和演练</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明确环境应急预案的评估修订要求</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sz w:val="21"/>
                <w:szCs w:val="21"/>
              </w:rPr>
            </w:pPr>
            <w:r>
              <w:rPr>
                <w:rFonts w:hint="eastAsia" w:ascii="宋体" w:hAnsi="宋体"/>
                <w:sz w:val="21"/>
                <w:szCs w:val="21"/>
              </w:rPr>
              <w:t>风险分析</w:t>
            </w:r>
            <w:r>
              <w:rPr>
                <w:rFonts w:hint="eastAsia" w:ascii="宋体" w:hAnsi="宋体"/>
                <w:sz w:val="21"/>
                <w:szCs w:val="21"/>
                <w:vertAlign w:val="superscript"/>
              </w:rPr>
              <w:t>c</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识别出所有重要的环境风险物质；列表，至少列出重要环境风险物质的名称、数量（最大存在总量）、位置</w:t>
            </w:r>
            <w:r>
              <w:rPr>
                <w:rFonts w:ascii="宋体" w:hAnsi="宋体"/>
                <w:sz w:val="21"/>
                <w:szCs w:val="21"/>
              </w:rPr>
              <w:t>/</w:t>
            </w:r>
            <w:r>
              <w:rPr>
                <w:rFonts w:hint="eastAsia" w:ascii="宋体" w:hAnsi="宋体"/>
                <w:sz w:val="21"/>
                <w:szCs w:val="21"/>
              </w:rPr>
              <w:t>所在装置；环境风险物质数量大于临界量的，辨识重要环境风险单元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重点核对生产工艺、环境风险防控措施各项指标的赋值是否合理</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41</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环境风险受体类型的确定是否合理</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42</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环境风险等级划分是否正确</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情景构建</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源强分析，重点分析释放环境风险物质的种类、释放速率、持续时间</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危害后果分析，重点分析环境风险物质的影响范围和程度</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完善计划</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调查内容</w:t>
            </w:r>
          </w:p>
        </w:tc>
        <w:tc>
          <w:tcPr>
            <w:tcW w:w="426" w:type="dxa"/>
            <w:vAlign w:val="center"/>
          </w:tcPr>
          <w:p>
            <w:pPr>
              <w:pStyle w:val="26"/>
              <w:keepNext/>
              <w:keepLines/>
              <w:tabs>
                <w:tab w:val="left" w:pos="0"/>
              </w:tabs>
              <w:adjustRightInd w:val="0"/>
              <w:snapToGrid w:val="0"/>
              <w:ind w:firstLine="0" w:firstLineChars="0"/>
              <w:jc w:val="center"/>
              <w:rPr>
                <w:rFonts w:ascii="宋体" w:hAnsi="宋体"/>
                <w:sz w:val="21"/>
                <w:szCs w:val="21"/>
              </w:rPr>
            </w:pPr>
            <w:r>
              <w:rPr>
                <w:rFonts w:hint="eastAsia" w:ascii="宋体" w:hAnsi="宋体"/>
                <w:sz w:val="21"/>
                <w:szCs w:val="21"/>
              </w:rPr>
              <w:t>49</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第一时间可调用的环境应急队伍、装备、物资、场所</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Align w:val="center"/>
          </w:tcPr>
          <w:p>
            <w:pPr>
              <w:keepNext/>
              <w:keepLines/>
              <w:adjustRightInd w:val="0"/>
              <w:snapToGrid w:val="0"/>
              <w:jc w:val="center"/>
              <w:rPr>
                <w:rFonts w:ascii="宋体" w:hAnsi="宋体"/>
                <w:sz w:val="21"/>
                <w:szCs w:val="21"/>
              </w:rPr>
            </w:pPr>
            <w:r>
              <w:rPr>
                <w:rFonts w:hint="eastAsia" w:ascii="宋体" w:hAnsi="宋体"/>
                <w:sz w:val="21"/>
                <w:szCs w:val="21"/>
                <w:lang w:val="en-US" w:eastAsia="zh-CN"/>
              </w:rPr>
              <w:t>2</w:t>
            </w:r>
          </w:p>
        </w:tc>
        <w:tc>
          <w:tcPr>
            <w:tcW w:w="669" w:type="dxa"/>
            <w:vAlign w:val="center"/>
          </w:tcPr>
          <w:p>
            <w:pPr>
              <w:keepNext/>
              <w:keepLines/>
              <w:adjustRightInd w:val="0"/>
              <w:snapToGrid w:val="0"/>
              <w:jc w:val="center"/>
              <w:rPr>
                <w:rFonts w:ascii="宋体" w:hAnsi="宋体"/>
                <w:sz w:val="21"/>
                <w:szCs w:val="21"/>
              </w:rPr>
            </w:pPr>
          </w:p>
        </w:tc>
        <w:tc>
          <w:tcPr>
            <w:tcW w:w="4850" w:type="dxa"/>
            <w:vAlign w:val="center"/>
          </w:tcPr>
          <w:p>
            <w:pPr>
              <w:keepNext/>
              <w:keepLines/>
              <w:adjustRightInd w:val="0"/>
              <w:snapToGrid w:val="0"/>
              <w:jc w:val="left"/>
              <w:rPr>
                <w:rFonts w:ascii="宋体" w:hAnsi="宋体"/>
                <w:sz w:val="21"/>
                <w:szCs w:val="21"/>
              </w:rPr>
            </w:pPr>
            <w:r>
              <w:rPr>
                <w:rFonts w:hint="eastAsia" w:ascii="宋体" w:hAnsi="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调查结果</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针对环境应急资源清单，抽查数据的可信性</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vAlign w:val="center"/>
          </w:tcPr>
          <w:p>
            <w:pPr>
              <w:adjustRightInd w:val="0"/>
              <w:snapToGrid w:val="0"/>
              <w:jc w:val="center"/>
              <w:rPr>
                <w:rFonts w:ascii="宋体" w:hAnsi="宋体"/>
                <w:sz w:val="21"/>
                <w:szCs w:val="21"/>
              </w:rPr>
            </w:pPr>
            <w:r>
              <w:rPr>
                <w:rFonts w:hint="eastAsia" w:ascii="宋体" w:hAnsi="宋体"/>
                <w:sz w:val="21"/>
                <w:szCs w:val="21"/>
              </w:rPr>
              <w:t>1</w:t>
            </w:r>
          </w:p>
        </w:tc>
        <w:tc>
          <w:tcPr>
            <w:tcW w:w="669" w:type="dxa"/>
            <w:vAlign w:val="center"/>
          </w:tcPr>
          <w:p>
            <w:pPr>
              <w:adjustRightInd w:val="0"/>
              <w:snapToGrid w:val="0"/>
              <w:jc w:val="center"/>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5" w:type="dxa"/>
            <w:gridSpan w:val="4"/>
            <w:vAlign w:val="center"/>
          </w:tcPr>
          <w:p>
            <w:pPr>
              <w:adjustRightInd w:val="0"/>
              <w:snapToGrid w:val="0"/>
              <w:jc w:val="center"/>
              <w:rPr>
                <w:rFonts w:ascii="宋体" w:hAnsi="宋体"/>
                <w:b/>
                <w:sz w:val="21"/>
                <w:szCs w:val="21"/>
              </w:rPr>
            </w:pPr>
            <w:r>
              <w:rPr>
                <w:rFonts w:hint="eastAsia" w:ascii="宋体" w:hAnsi="宋体"/>
                <w:b/>
                <w:sz w:val="21"/>
                <w:szCs w:val="21"/>
              </w:rPr>
              <w:t>合  计</w:t>
            </w:r>
          </w:p>
        </w:tc>
        <w:tc>
          <w:tcPr>
            <w:tcW w:w="607" w:type="dxa"/>
            <w:gridSpan w:val="2"/>
            <w:vAlign w:val="center"/>
          </w:tcPr>
          <w:p>
            <w:pPr>
              <w:adjustRightInd w:val="0"/>
              <w:snapToGrid w:val="0"/>
              <w:jc w:val="center"/>
              <w:rPr>
                <w:rFonts w:hint="eastAsia" w:ascii="宋体" w:hAnsi="宋体" w:eastAsia="仿宋_GB2312"/>
                <w:b/>
                <w:sz w:val="21"/>
                <w:szCs w:val="21"/>
                <w:lang w:val="en-US" w:eastAsia="zh-CN"/>
              </w:rPr>
            </w:pPr>
            <w:r>
              <w:rPr>
                <w:rFonts w:hint="eastAsia" w:ascii="宋体" w:hAnsi="宋体"/>
                <w:b/>
                <w:sz w:val="21"/>
                <w:szCs w:val="21"/>
              </w:rPr>
              <w:t>7</w:t>
            </w:r>
            <w:r>
              <w:rPr>
                <w:rFonts w:hint="eastAsia" w:ascii="宋体" w:hAnsi="宋体"/>
                <w:b/>
                <w:sz w:val="21"/>
                <w:szCs w:val="21"/>
                <w:lang w:val="en-US" w:eastAsia="zh-CN"/>
              </w:rPr>
              <w:t>9</w:t>
            </w:r>
          </w:p>
        </w:tc>
        <w:tc>
          <w:tcPr>
            <w:tcW w:w="669" w:type="dxa"/>
            <w:vAlign w:val="center"/>
          </w:tcPr>
          <w:p>
            <w:pPr>
              <w:adjustRightInd w:val="0"/>
              <w:snapToGrid w:val="0"/>
              <w:jc w:val="center"/>
              <w:rPr>
                <w:rFonts w:ascii="宋体" w:hAnsi="宋体"/>
                <w:b/>
                <w:sz w:val="21"/>
                <w:szCs w:val="21"/>
              </w:rPr>
            </w:pPr>
          </w:p>
        </w:tc>
        <w:tc>
          <w:tcPr>
            <w:tcW w:w="4850" w:type="dxa"/>
            <w:vAlign w:val="center"/>
          </w:tcPr>
          <w:p>
            <w:pPr>
              <w:adjustRightInd w:val="0"/>
              <w:snapToGrid w:val="0"/>
              <w:jc w:val="center"/>
              <w:rPr>
                <w:rFonts w:ascii="宋体" w:hAnsi="宋体"/>
                <w:b/>
                <w:sz w:val="21"/>
                <w:szCs w:val="21"/>
              </w:rPr>
            </w:pPr>
            <w:r>
              <w:rPr>
                <w:rFonts w:hint="eastAsia" w:ascii="宋体" w:hAnsi="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1" w:type="dxa"/>
            <w:gridSpan w:val="8"/>
            <w:vAlign w:val="center"/>
          </w:tcPr>
          <w:p>
            <w:pPr>
              <w:keepNext/>
              <w:keepLines/>
              <w:adjustRightInd w:val="0"/>
              <w:snapToGrid w:val="0"/>
              <w:rPr>
                <w:rFonts w:ascii="宋体" w:hAnsi="宋体"/>
                <w:sz w:val="21"/>
                <w:szCs w:val="21"/>
              </w:rPr>
            </w:pPr>
            <w:r>
              <w:rPr>
                <w:rFonts w:hint="eastAsia" w:ascii="宋体" w:hAnsi="宋体"/>
                <w:sz w:val="21"/>
                <w:szCs w:val="21"/>
              </w:rPr>
              <w:t>评审人员（签字）：</w:t>
            </w:r>
          </w:p>
          <w:p>
            <w:pPr>
              <w:keepNext/>
              <w:keepLines/>
              <w:adjustRightInd w:val="0"/>
              <w:snapToGrid w:val="0"/>
              <w:rPr>
                <w:rFonts w:ascii="宋体" w:hAnsi="宋体"/>
                <w:sz w:val="21"/>
                <w:szCs w:val="21"/>
              </w:rPr>
            </w:pPr>
            <w:r>
              <w:rPr>
                <w:rFonts w:hint="eastAsia" w:ascii="宋体" w:hAnsi="宋体"/>
                <w:sz w:val="21"/>
                <w:szCs w:val="21"/>
              </w:rPr>
              <w:t xml:space="preserve">                                                                                      </w:t>
            </w:r>
            <w:bookmarkStart w:id="0" w:name="_GoBack"/>
            <w:bookmarkEnd w:id="0"/>
            <w:r>
              <w:rPr>
                <w:rFonts w:hint="eastAsia" w:ascii="宋体" w:hAnsi="宋体"/>
                <w:sz w:val="21"/>
                <w:szCs w:val="21"/>
              </w:rPr>
              <w:t xml:space="preserve">    评审日期：202</w:t>
            </w:r>
            <w:r>
              <w:rPr>
                <w:rFonts w:hint="eastAsia" w:ascii="宋体" w:hAnsi="宋体"/>
                <w:sz w:val="21"/>
                <w:szCs w:val="21"/>
                <w:lang w:val="en-US" w:eastAsia="zh-CN"/>
              </w:rPr>
              <w:t>1</w:t>
            </w:r>
            <w:r>
              <w:rPr>
                <w:rFonts w:hint="eastAsia" w:ascii="宋体" w:hAnsi="宋体"/>
                <w:sz w:val="21"/>
                <w:szCs w:val="21"/>
              </w:rPr>
              <w:t>年</w:t>
            </w:r>
            <w:r>
              <w:rPr>
                <w:rFonts w:hint="eastAsia" w:ascii="宋体" w:hAnsi="宋体"/>
                <w:sz w:val="21"/>
                <w:szCs w:val="21"/>
                <w:lang w:val="en-US" w:eastAsia="zh-CN"/>
              </w:rPr>
              <w:t>6</w:t>
            </w:r>
            <w:r>
              <w:rPr>
                <w:rFonts w:hint="eastAsia" w:ascii="宋体" w:hAnsi="宋体"/>
                <w:sz w:val="21"/>
                <w:szCs w:val="21"/>
              </w:rPr>
              <w:t>月</w:t>
            </w:r>
            <w:r>
              <w:rPr>
                <w:rFonts w:hint="eastAsia" w:ascii="宋体" w:hAnsi="宋体"/>
                <w:sz w:val="21"/>
                <w:szCs w:val="21"/>
                <w:lang w:val="en-US" w:eastAsia="zh-CN"/>
              </w:rPr>
              <w:t>6</w:t>
            </w:r>
            <w:r>
              <w:rPr>
                <w:rFonts w:hint="eastAsia" w:ascii="宋体" w:hAnsi="宋体"/>
                <w:sz w:val="21"/>
                <w:szCs w:val="21"/>
              </w:rPr>
              <w:t>日</w:t>
            </w:r>
          </w:p>
        </w:tc>
      </w:tr>
    </w:tbl>
    <w:p>
      <w:pPr>
        <w:adjustRightInd w:val="0"/>
        <w:snapToGrid w:val="0"/>
        <w:spacing w:line="320" w:lineRule="exact"/>
        <w:rPr>
          <w:rFonts w:ascii="宋体" w:hAnsi="宋体"/>
          <w:sz w:val="21"/>
        </w:rPr>
      </w:pPr>
      <w:r>
        <w:rPr>
          <w:rFonts w:hint="eastAsia" w:ascii="宋体" w:hAnsi="宋体"/>
          <w:sz w:val="21"/>
        </w:rPr>
        <w:t>注：1.符合，指的是评审专家判定某一项指标所涉及的内容能够反映制定环境应急预案的企业开展了该项工作，且工作全面、深入、质量高；部分</w:t>
      </w:r>
    </w:p>
    <w:p>
      <w:pPr>
        <w:adjustRightInd w:val="0"/>
        <w:snapToGrid w:val="0"/>
        <w:spacing w:line="320" w:lineRule="exact"/>
        <w:rPr>
          <w:rFonts w:ascii="宋体" w:hAnsi="宋体"/>
          <w:sz w:val="21"/>
        </w:rPr>
      </w:pPr>
      <w:r>
        <w:rPr>
          <w:rFonts w:hint="eastAsia" w:ascii="宋体" w:hAnsi="宋体"/>
          <w:sz w:val="21"/>
        </w:rPr>
        <w:t xml:space="preserve">      符合，指的是评审专家判定企业开展了该项工作，但工作不全面、不深入或质量不高；不符合，指的是评审人员判定企业未开展该项工作，</w:t>
      </w:r>
    </w:p>
    <w:p>
      <w:pPr>
        <w:adjustRightInd w:val="0"/>
        <w:snapToGrid w:val="0"/>
        <w:spacing w:line="320" w:lineRule="exact"/>
        <w:rPr>
          <w:rFonts w:ascii="宋体" w:hAnsi="宋体"/>
          <w:sz w:val="21"/>
        </w:rPr>
      </w:pPr>
      <w:r>
        <w:rPr>
          <w:rFonts w:hint="eastAsia" w:ascii="宋体" w:hAnsi="宋体"/>
          <w:sz w:val="21"/>
        </w:rPr>
        <w:t xml:space="preserve">      或工作有重大疏漏、流于形式或质量差。</w:t>
      </w:r>
    </w:p>
    <w:p>
      <w:pPr>
        <w:adjustRightInd w:val="0"/>
        <w:snapToGrid w:val="0"/>
        <w:spacing w:line="320" w:lineRule="exact"/>
        <w:rPr>
          <w:rFonts w:ascii="宋体" w:hAnsi="宋体"/>
          <w:sz w:val="21"/>
        </w:rPr>
      </w:pPr>
      <w:r>
        <w:rPr>
          <w:rFonts w:hint="eastAsia" w:ascii="宋体" w:hAnsi="宋体"/>
          <w:sz w:val="21"/>
        </w:rPr>
        <w:t xml:space="preserve">    2.赋分原则：“符合”得2分、“部分符合”得1分、“不符合”得0分；其中标注a的指标得分按“符合”得1分、“部分符合”得0.5分、“不</w:t>
      </w:r>
    </w:p>
    <w:p>
      <w:pPr>
        <w:adjustRightInd w:val="0"/>
        <w:snapToGrid w:val="0"/>
        <w:spacing w:line="320" w:lineRule="exact"/>
        <w:rPr>
          <w:rFonts w:ascii="宋体" w:hAnsi="宋体"/>
          <w:sz w:val="21"/>
        </w:rPr>
      </w:pPr>
      <w:r>
        <w:rPr>
          <w:rFonts w:hint="eastAsia" w:ascii="宋体" w:hAnsi="宋体"/>
          <w:sz w:val="21"/>
        </w:rPr>
        <w:t xml:space="preserve">      符合”得0分计，标注b的指标得分按“符合”得3分、“部分符合”得1.5分、“不符合”得0分计。</w:t>
      </w:r>
    </w:p>
    <w:p>
      <w:pPr>
        <w:adjustRightInd w:val="0"/>
        <w:snapToGrid w:val="0"/>
        <w:spacing w:line="320" w:lineRule="exact"/>
        <w:rPr>
          <w:rFonts w:ascii="宋体" w:hAnsi="宋体"/>
          <w:sz w:val="21"/>
        </w:rPr>
      </w:pPr>
      <w:r>
        <w:rPr>
          <w:rFonts w:hint="eastAsia" w:ascii="宋体" w:hAnsi="宋体"/>
          <w:sz w:val="21"/>
        </w:rPr>
        <w:t xml:space="preserve">    3.指标调整：标注</w:t>
      </w:r>
      <w:r>
        <w:rPr>
          <w:rFonts w:ascii="宋体" w:hAnsi="宋体"/>
          <w:sz w:val="21"/>
        </w:rPr>
        <w:t>c</w:t>
      </w:r>
      <w:r>
        <w:rPr>
          <w:rFonts w:hint="eastAsia" w:ascii="宋体" w:hAnsi="宋体"/>
          <w:sz w:val="21"/>
        </w:rPr>
        <w:t>的指标或项目中的部分指标，评审组可以对不适用的进行调整。</w:t>
      </w:r>
    </w:p>
    <w:p>
      <w:pPr>
        <w:adjustRightInd w:val="0"/>
        <w:snapToGrid w:val="0"/>
        <w:spacing w:line="320" w:lineRule="exact"/>
        <w:rPr>
          <w:rFonts w:ascii="宋体" w:hAnsi="宋体"/>
          <w:sz w:val="21"/>
        </w:rPr>
      </w:pPr>
      <w:r>
        <w:rPr>
          <w:rFonts w:hint="eastAsia" w:ascii="宋体" w:hAnsi="宋体"/>
          <w:sz w:val="21"/>
        </w:rPr>
        <w:t xml:space="preserve">    4.“一票否决”项不计入评审得分。</w:t>
      </w:r>
    </w:p>
    <w:p>
      <w:pPr>
        <w:adjustRightInd w:val="0"/>
        <w:snapToGrid w:val="0"/>
        <w:spacing w:line="320" w:lineRule="exact"/>
        <w:rPr>
          <w:rFonts w:ascii="仿宋_GB2312" w:hAnsi="仿宋_GB2312" w:cs="仿宋_GB2312"/>
          <w:sz w:val="24"/>
          <w:szCs w:val="24"/>
        </w:rPr>
      </w:pPr>
      <w:r>
        <w:rPr>
          <w:rFonts w:hint="eastAsia" w:ascii="宋体" w:hAnsi="宋体"/>
          <w:sz w:val="21"/>
        </w:rPr>
        <w:t xml:space="preserve">    5.指标说明供参考。</w:t>
      </w:r>
    </w:p>
    <w:sectPr>
      <w:headerReference r:id="rId3" w:type="default"/>
      <w:footerReference r:id="rId4" w:type="default"/>
      <w:pgSz w:w="16838" w:h="11906" w:orient="landscape"/>
      <w:pgMar w:top="1701" w:right="1701" w:bottom="1701" w:left="1701" w:header="851" w:footer="1418" w:gutter="0"/>
      <w:pgNumType w:start="1"/>
      <w:cols w:space="720" w:num="1"/>
      <w:docGrid w:type="line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9"/>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E678F"/>
    <w:rsid w:val="00015109"/>
    <w:rsid w:val="000170AB"/>
    <w:rsid w:val="00017974"/>
    <w:rsid w:val="00020BF6"/>
    <w:rsid w:val="00023339"/>
    <w:rsid w:val="00023E09"/>
    <w:rsid w:val="00027D74"/>
    <w:rsid w:val="00027DC4"/>
    <w:rsid w:val="00031E81"/>
    <w:rsid w:val="00037776"/>
    <w:rsid w:val="000437C2"/>
    <w:rsid w:val="000546AE"/>
    <w:rsid w:val="00061B75"/>
    <w:rsid w:val="00063371"/>
    <w:rsid w:val="00071643"/>
    <w:rsid w:val="00074516"/>
    <w:rsid w:val="00075116"/>
    <w:rsid w:val="0007553A"/>
    <w:rsid w:val="00076D5A"/>
    <w:rsid w:val="00094217"/>
    <w:rsid w:val="000958AC"/>
    <w:rsid w:val="000A39EA"/>
    <w:rsid w:val="000A50E8"/>
    <w:rsid w:val="000A5BF6"/>
    <w:rsid w:val="000B2598"/>
    <w:rsid w:val="000B39AB"/>
    <w:rsid w:val="000B4C93"/>
    <w:rsid w:val="000C32D3"/>
    <w:rsid w:val="000D3E1B"/>
    <w:rsid w:val="000D612B"/>
    <w:rsid w:val="000D7EB4"/>
    <w:rsid w:val="000E416C"/>
    <w:rsid w:val="000E55BE"/>
    <w:rsid w:val="000E59FA"/>
    <w:rsid w:val="000E5FB9"/>
    <w:rsid w:val="000F35B0"/>
    <w:rsid w:val="000F772D"/>
    <w:rsid w:val="00100CE4"/>
    <w:rsid w:val="00101795"/>
    <w:rsid w:val="001025EE"/>
    <w:rsid w:val="001107CB"/>
    <w:rsid w:val="00112BD8"/>
    <w:rsid w:val="00116315"/>
    <w:rsid w:val="00134C31"/>
    <w:rsid w:val="001429A9"/>
    <w:rsid w:val="00144B3E"/>
    <w:rsid w:val="00146F95"/>
    <w:rsid w:val="0015179D"/>
    <w:rsid w:val="00157BA9"/>
    <w:rsid w:val="001608A5"/>
    <w:rsid w:val="0016643F"/>
    <w:rsid w:val="00170DED"/>
    <w:rsid w:val="00180DA3"/>
    <w:rsid w:val="0019406A"/>
    <w:rsid w:val="00195807"/>
    <w:rsid w:val="001A63A0"/>
    <w:rsid w:val="001A7BF7"/>
    <w:rsid w:val="001A7F05"/>
    <w:rsid w:val="001B3CE5"/>
    <w:rsid w:val="001C1D99"/>
    <w:rsid w:val="001D2CDD"/>
    <w:rsid w:val="001D44BB"/>
    <w:rsid w:val="001E0449"/>
    <w:rsid w:val="001E29BC"/>
    <w:rsid w:val="001E33EA"/>
    <w:rsid w:val="001F6B99"/>
    <w:rsid w:val="001F711E"/>
    <w:rsid w:val="002001DA"/>
    <w:rsid w:val="002059E8"/>
    <w:rsid w:val="00211F23"/>
    <w:rsid w:val="00215335"/>
    <w:rsid w:val="002155EC"/>
    <w:rsid w:val="00237452"/>
    <w:rsid w:val="002413E9"/>
    <w:rsid w:val="0024337D"/>
    <w:rsid w:val="00243783"/>
    <w:rsid w:val="00246C07"/>
    <w:rsid w:val="002550EC"/>
    <w:rsid w:val="002714B5"/>
    <w:rsid w:val="00273A91"/>
    <w:rsid w:val="002764D0"/>
    <w:rsid w:val="0027681C"/>
    <w:rsid w:val="00285C88"/>
    <w:rsid w:val="002864F6"/>
    <w:rsid w:val="00287A40"/>
    <w:rsid w:val="00290E13"/>
    <w:rsid w:val="0029410E"/>
    <w:rsid w:val="002A0183"/>
    <w:rsid w:val="002A7E79"/>
    <w:rsid w:val="002B56A7"/>
    <w:rsid w:val="002B67F3"/>
    <w:rsid w:val="002B6954"/>
    <w:rsid w:val="002C319C"/>
    <w:rsid w:val="002C601B"/>
    <w:rsid w:val="002C6A81"/>
    <w:rsid w:val="002D2311"/>
    <w:rsid w:val="002D4DF8"/>
    <w:rsid w:val="002E1EAC"/>
    <w:rsid w:val="002E3041"/>
    <w:rsid w:val="002E4344"/>
    <w:rsid w:val="002E43D1"/>
    <w:rsid w:val="002E57A0"/>
    <w:rsid w:val="002E6D4B"/>
    <w:rsid w:val="002F332B"/>
    <w:rsid w:val="002F5C01"/>
    <w:rsid w:val="00302095"/>
    <w:rsid w:val="0030419A"/>
    <w:rsid w:val="003052C0"/>
    <w:rsid w:val="00307260"/>
    <w:rsid w:val="00315F01"/>
    <w:rsid w:val="003237AF"/>
    <w:rsid w:val="00325526"/>
    <w:rsid w:val="003276BA"/>
    <w:rsid w:val="00333949"/>
    <w:rsid w:val="00340B3C"/>
    <w:rsid w:val="00346441"/>
    <w:rsid w:val="00346E10"/>
    <w:rsid w:val="00346ED8"/>
    <w:rsid w:val="003555E0"/>
    <w:rsid w:val="0036231F"/>
    <w:rsid w:val="00362C21"/>
    <w:rsid w:val="0036565E"/>
    <w:rsid w:val="00372086"/>
    <w:rsid w:val="003751D7"/>
    <w:rsid w:val="00383879"/>
    <w:rsid w:val="00387B61"/>
    <w:rsid w:val="00392B8B"/>
    <w:rsid w:val="00394352"/>
    <w:rsid w:val="0039738D"/>
    <w:rsid w:val="003975DB"/>
    <w:rsid w:val="003A4B90"/>
    <w:rsid w:val="003B1E0B"/>
    <w:rsid w:val="003B1F2B"/>
    <w:rsid w:val="003B22FD"/>
    <w:rsid w:val="003C42EE"/>
    <w:rsid w:val="003D0C47"/>
    <w:rsid w:val="003D3013"/>
    <w:rsid w:val="003D69CB"/>
    <w:rsid w:val="003E08E3"/>
    <w:rsid w:val="003E3EB3"/>
    <w:rsid w:val="003E7651"/>
    <w:rsid w:val="003E7E04"/>
    <w:rsid w:val="003F16FE"/>
    <w:rsid w:val="003F2535"/>
    <w:rsid w:val="003F3F52"/>
    <w:rsid w:val="003F5833"/>
    <w:rsid w:val="004102E6"/>
    <w:rsid w:val="004110EB"/>
    <w:rsid w:val="004122DC"/>
    <w:rsid w:val="0041479A"/>
    <w:rsid w:val="00421F7B"/>
    <w:rsid w:val="00424663"/>
    <w:rsid w:val="00430900"/>
    <w:rsid w:val="00430D14"/>
    <w:rsid w:val="0043341E"/>
    <w:rsid w:val="004369CF"/>
    <w:rsid w:val="00440CD9"/>
    <w:rsid w:val="00445D87"/>
    <w:rsid w:val="00450D6C"/>
    <w:rsid w:val="00450F32"/>
    <w:rsid w:val="00457595"/>
    <w:rsid w:val="00473FEF"/>
    <w:rsid w:val="00474455"/>
    <w:rsid w:val="00490FAA"/>
    <w:rsid w:val="004B1E9A"/>
    <w:rsid w:val="004B22BC"/>
    <w:rsid w:val="004B2490"/>
    <w:rsid w:val="004B6011"/>
    <w:rsid w:val="004C32BF"/>
    <w:rsid w:val="004C6264"/>
    <w:rsid w:val="004D7F5A"/>
    <w:rsid w:val="004E22D0"/>
    <w:rsid w:val="004E4004"/>
    <w:rsid w:val="004E6F3E"/>
    <w:rsid w:val="004F0AEF"/>
    <w:rsid w:val="004F1DBF"/>
    <w:rsid w:val="004F4765"/>
    <w:rsid w:val="00503F6D"/>
    <w:rsid w:val="00504A8D"/>
    <w:rsid w:val="00516010"/>
    <w:rsid w:val="00526220"/>
    <w:rsid w:val="005264E6"/>
    <w:rsid w:val="00535318"/>
    <w:rsid w:val="005504DF"/>
    <w:rsid w:val="00562DA1"/>
    <w:rsid w:val="00567BC5"/>
    <w:rsid w:val="00575381"/>
    <w:rsid w:val="00576434"/>
    <w:rsid w:val="00576FCD"/>
    <w:rsid w:val="00577017"/>
    <w:rsid w:val="00586E39"/>
    <w:rsid w:val="0059039B"/>
    <w:rsid w:val="00594D94"/>
    <w:rsid w:val="00594E62"/>
    <w:rsid w:val="00597369"/>
    <w:rsid w:val="005A1172"/>
    <w:rsid w:val="005A37E0"/>
    <w:rsid w:val="005B0C3B"/>
    <w:rsid w:val="005B4794"/>
    <w:rsid w:val="005B49A6"/>
    <w:rsid w:val="005B7BE9"/>
    <w:rsid w:val="005C0C25"/>
    <w:rsid w:val="005C2960"/>
    <w:rsid w:val="005C4055"/>
    <w:rsid w:val="005C4172"/>
    <w:rsid w:val="005C6069"/>
    <w:rsid w:val="005C628F"/>
    <w:rsid w:val="005D08B6"/>
    <w:rsid w:val="005E0F16"/>
    <w:rsid w:val="005F00F7"/>
    <w:rsid w:val="005F0781"/>
    <w:rsid w:val="005F1773"/>
    <w:rsid w:val="005F7F97"/>
    <w:rsid w:val="00600E09"/>
    <w:rsid w:val="00602D43"/>
    <w:rsid w:val="00606F34"/>
    <w:rsid w:val="00611721"/>
    <w:rsid w:val="006127C7"/>
    <w:rsid w:val="00613220"/>
    <w:rsid w:val="00620020"/>
    <w:rsid w:val="006222CE"/>
    <w:rsid w:val="006263D6"/>
    <w:rsid w:val="00633FFB"/>
    <w:rsid w:val="00635D0C"/>
    <w:rsid w:val="00641349"/>
    <w:rsid w:val="00642CB6"/>
    <w:rsid w:val="0065225B"/>
    <w:rsid w:val="0065265F"/>
    <w:rsid w:val="0065426D"/>
    <w:rsid w:val="00660075"/>
    <w:rsid w:val="00665310"/>
    <w:rsid w:val="00665FAC"/>
    <w:rsid w:val="00674748"/>
    <w:rsid w:val="0067548A"/>
    <w:rsid w:val="00682FEA"/>
    <w:rsid w:val="00683332"/>
    <w:rsid w:val="00690CA8"/>
    <w:rsid w:val="0069624C"/>
    <w:rsid w:val="006B0F30"/>
    <w:rsid w:val="006B200D"/>
    <w:rsid w:val="006C176B"/>
    <w:rsid w:val="006D3EB1"/>
    <w:rsid w:val="006D5630"/>
    <w:rsid w:val="006F25A9"/>
    <w:rsid w:val="006F353A"/>
    <w:rsid w:val="006F4E6F"/>
    <w:rsid w:val="006F586E"/>
    <w:rsid w:val="00703DB5"/>
    <w:rsid w:val="00706F37"/>
    <w:rsid w:val="00713170"/>
    <w:rsid w:val="0071378D"/>
    <w:rsid w:val="00713AF1"/>
    <w:rsid w:val="007335D8"/>
    <w:rsid w:val="00734F06"/>
    <w:rsid w:val="00736A69"/>
    <w:rsid w:val="00741886"/>
    <w:rsid w:val="00744913"/>
    <w:rsid w:val="00746E0F"/>
    <w:rsid w:val="00762231"/>
    <w:rsid w:val="0077147C"/>
    <w:rsid w:val="00775DDC"/>
    <w:rsid w:val="00775E1F"/>
    <w:rsid w:val="00782EC1"/>
    <w:rsid w:val="00790617"/>
    <w:rsid w:val="00792535"/>
    <w:rsid w:val="00792947"/>
    <w:rsid w:val="007942BB"/>
    <w:rsid w:val="00794714"/>
    <w:rsid w:val="007A70C2"/>
    <w:rsid w:val="007B497C"/>
    <w:rsid w:val="007B579D"/>
    <w:rsid w:val="007C27B0"/>
    <w:rsid w:val="007D0183"/>
    <w:rsid w:val="007D35FB"/>
    <w:rsid w:val="007D6768"/>
    <w:rsid w:val="007D77CD"/>
    <w:rsid w:val="007E0D7B"/>
    <w:rsid w:val="007E2D3D"/>
    <w:rsid w:val="007E6C92"/>
    <w:rsid w:val="007F284E"/>
    <w:rsid w:val="007F708E"/>
    <w:rsid w:val="008065C2"/>
    <w:rsid w:val="00807438"/>
    <w:rsid w:val="0081245F"/>
    <w:rsid w:val="00813F5A"/>
    <w:rsid w:val="00821C7B"/>
    <w:rsid w:val="00822480"/>
    <w:rsid w:val="00824CEE"/>
    <w:rsid w:val="00826343"/>
    <w:rsid w:val="00830896"/>
    <w:rsid w:val="00834B9F"/>
    <w:rsid w:val="00837E06"/>
    <w:rsid w:val="00851FFE"/>
    <w:rsid w:val="0086571E"/>
    <w:rsid w:val="00870C5F"/>
    <w:rsid w:val="00876DEF"/>
    <w:rsid w:val="00893F85"/>
    <w:rsid w:val="008A2B45"/>
    <w:rsid w:val="008A330C"/>
    <w:rsid w:val="008A7A87"/>
    <w:rsid w:val="008B00BD"/>
    <w:rsid w:val="008B5151"/>
    <w:rsid w:val="008B70D4"/>
    <w:rsid w:val="008C041A"/>
    <w:rsid w:val="008C5A2F"/>
    <w:rsid w:val="008E203D"/>
    <w:rsid w:val="008E6642"/>
    <w:rsid w:val="008F1A8E"/>
    <w:rsid w:val="008F2319"/>
    <w:rsid w:val="008F28CD"/>
    <w:rsid w:val="00902809"/>
    <w:rsid w:val="009044E0"/>
    <w:rsid w:val="009119A2"/>
    <w:rsid w:val="00913C80"/>
    <w:rsid w:val="00914173"/>
    <w:rsid w:val="00932DEF"/>
    <w:rsid w:val="00955DF0"/>
    <w:rsid w:val="00957164"/>
    <w:rsid w:val="00960EA2"/>
    <w:rsid w:val="009738DC"/>
    <w:rsid w:val="009753FC"/>
    <w:rsid w:val="00985D09"/>
    <w:rsid w:val="0099132C"/>
    <w:rsid w:val="009930D3"/>
    <w:rsid w:val="00994D30"/>
    <w:rsid w:val="009A1029"/>
    <w:rsid w:val="009A725D"/>
    <w:rsid w:val="009B49D3"/>
    <w:rsid w:val="009B4E4B"/>
    <w:rsid w:val="009C3B5B"/>
    <w:rsid w:val="009C4A74"/>
    <w:rsid w:val="009D2145"/>
    <w:rsid w:val="009E02B5"/>
    <w:rsid w:val="009E0483"/>
    <w:rsid w:val="009E1D64"/>
    <w:rsid w:val="009E37DA"/>
    <w:rsid w:val="009F259D"/>
    <w:rsid w:val="009F2B0A"/>
    <w:rsid w:val="009F5138"/>
    <w:rsid w:val="00A06F92"/>
    <w:rsid w:val="00A124B3"/>
    <w:rsid w:val="00A2085A"/>
    <w:rsid w:val="00A212E4"/>
    <w:rsid w:val="00A37314"/>
    <w:rsid w:val="00A4747D"/>
    <w:rsid w:val="00A475E5"/>
    <w:rsid w:val="00A65972"/>
    <w:rsid w:val="00A7466F"/>
    <w:rsid w:val="00A75318"/>
    <w:rsid w:val="00A76531"/>
    <w:rsid w:val="00A77480"/>
    <w:rsid w:val="00A83FC5"/>
    <w:rsid w:val="00A85358"/>
    <w:rsid w:val="00A90E1B"/>
    <w:rsid w:val="00A94B6E"/>
    <w:rsid w:val="00A96102"/>
    <w:rsid w:val="00AA7AEA"/>
    <w:rsid w:val="00AC10FA"/>
    <w:rsid w:val="00AD439B"/>
    <w:rsid w:val="00AE6978"/>
    <w:rsid w:val="00AE78ED"/>
    <w:rsid w:val="00AF169D"/>
    <w:rsid w:val="00AF2ADA"/>
    <w:rsid w:val="00B064BA"/>
    <w:rsid w:val="00B072E8"/>
    <w:rsid w:val="00B13CCF"/>
    <w:rsid w:val="00B16545"/>
    <w:rsid w:val="00B22096"/>
    <w:rsid w:val="00B23481"/>
    <w:rsid w:val="00B320AE"/>
    <w:rsid w:val="00B405A9"/>
    <w:rsid w:val="00B56B0F"/>
    <w:rsid w:val="00B6068B"/>
    <w:rsid w:val="00B62103"/>
    <w:rsid w:val="00B650EC"/>
    <w:rsid w:val="00B6642D"/>
    <w:rsid w:val="00B67772"/>
    <w:rsid w:val="00B72D27"/>
    <w:rsid w:val="00B7592E"/>
    <w:rsid w:val="00B80B9D"/>
    <w:rsid w:val="00B82426"/>
    <w:rsid w:val="00B90C64"/>
    <w:rsid w:val="00B94391"/>
    <w:rsid w:val="00BA23D3"/>
    <w:rsid w:val="00BA69C8"/>
    <w:rsid w:val="00BB1A45"/>
    <w:rsid w:val="00BB3080"/>
    <w:rsid w:val="00BC5E13"/>
    <w:rsid w:val="00BC67BC"/>
    <w:rsid w:val="00BE117E"/>
    <w:rsid w:val="00BE1757"/>
    <w:rsid w:val="00BE1A19"/>
    <w:rsid w:val="00BE2D84"/>
    <w:rsid w:val="00BE3C70"/>
    <w:rsid w:val="00BF0B57"/>
    <w:rsid w:val="00BF4F0F"/>
    <w:rsid w:val="00C054D6"/>
    <w:rsid w:val="00C07FCF"/>
    <w:rsid w:val="00C14001"/>
    <w:rsid w:val="00C15225"/>
    <w:rsid w:val="00C15811"/>
    <w:rsid w:val="00C16BA9"/>
    <w:rsid w:val="00C16F18"/>
    <w:rsid w:val="00C221D8"/>
    <w:rsid w:val="00C24BE7"/>
    <w:rsid w:val="00C4038C"/>
    <w:rsid w:val="00C41380"/>
    <w:rsid w:val="00C43878"/>
    <w:rsid w:val="00C43FF8"/>
    <w:rsid w:val="00C4619D"/>
    <w:rsid w:val="00C475D7"/>
    <w:rsid w:val="00C53379"/>
    <w:rsid w:val="00C618AE"/>
    <w:rsid w:val="00C64502"/>
    <w:rsid w:val="00C65934"/>
    <w:rsid w:val="00C664DC"/>
    <w:rsid w:val="00C66FC0"/>
    <w:rsid w:val="00C7724F"/>
    <w:rsid w:val="00C772CF"/>
    <w:rsid w:val="00C81A3B"/>
    <w:rsid w:val="00C86A22"/>
    <w:rsid w:val="00C86B42"/>
    <w:rsid w:val="00C90219"/>
    <w:rsid w:val="00C94115"/>
    <w:rsid w:val="00CA5224"/>
    <w:rsid w:val="00CD3A72"/>
    <w:rsid w:val="00CD464F"/>
    <w:rsid w:val="00CE0992"/>
    <w:rsid w:val="00CE0B38"/>
    <w:rsid w:val="00CE5E77"/>
    <w:rsid w:val="00CE7CF2"/>
    <w:rsid w:val="00D01DB0"/>
    <w:rsid w:val="00D1155E"/>
    <w:rsid w:val="00D12625"/>
    <w:rsid w:val="00D32181"/>
    <w:rsid w:val="00D340FE"/>
    <w:rsid w:val="00D35B0A"/>
    <w:rsid w:val="00D41891"/>
    <w:rsid w:val="00D42852"/>
    <w:rsid w:val="00D5013F"/>
    <w:rsid w:val="00D53614"/>
    <w:rsid w:val="00D62C50"/>
    <w:rsid w:val="00D63535"/>
    <w:rsid w:val="00D65FE9"/>
    <w:rsid w:val="00D660BA"/>
    <w:rsid w:val="00D84697"/>
    <w:rsid w:val="00D84B1A"/>
    <w:rsid w:val="00D87BB2"/>
    <w:rsid w:val="00D933CB"/>
    <w:rsid w:val="00D94201"/>
    <w:rsid w:val="00DA08C5"/>
    <w:rsid w:val="00DA2C5E"/>
    <w:rsid w:val="00DA62FD"/>
    <w:rsid w:val="00DB19E7"/>
    <w:rsid w:val="00DB2097"/>
    <w:rsid w:val="00DB3385"/>
    <w:rsid w:val="00DB437C"/>
    <w:rsid w:val="00DB6E3F"/>
    <w:rsid w:val="00DC65E9"/>
    <w:rsid w:val="00DC7C07"/>
    <w:rsid w:val="00DD0600"/>
    <w:rsid w:val="00DD597E"/>
    <w:rsid w:val="00DE666E"/>
    <w:rsid w:val="00DF1E3D"/>
    <w:rsid w:val="00DF20C0"/>
    <w:rsid w:val="00DF5D18"/>
    <w:rsid w:val="00E0676E"/>
    <w:rsid w:val="00E25E7B"/>
    <w:rsid w:val="00E304FC"/>
    <w:rsid w:val="00E41126"/>
    <w:rsid w:val="00E449C7"/>
    <w:rsid w:val="00E4651B"/>
    <w:rsid w:val="00E47C87"/>
    <w:rsid w:val="00E5013E"/>
    <w:rsid w:val="00E5324E"/>
    <w:rsid w:val="00E53251"/>
    <w:rsid w:val="00E6009E"/>
    <w:rsid w:val="00E61F9C"/>
    <w:rsid w:val="00E62C36"/>
    <w:rsid w:val="00E65C91"/>
    <w:rsid w:val="00E66A3A"/>
    <w:rsid w:val="00E6796B"/>
    <w:rsid w:val="00E77DF9"/>
    <w:rsid w:val="00E84BD2"/>
    <w:rsid w:val="00E859A4"/>
    <w:rsid w:val="00E94946"/>
    <w:rsid w:val="00E95198"/>
    <w:rsid w:val="00EA6033"/>
    <w:rsid w:val="00EA69A0"/>
    <w:rsid w:val="00EA7E68"/>
    <w:rsid w:val="00EB0DBD"/>
    <w:rsid w:val="00EC7994"/>
    <w:rsid w:val="00ED434C"/>
    <w:rsid w:val="00ED7B8D"/>
    <w:rsid w:val="00EE6236"/>
    <w:rsid w:val="00EE7323"/>
    <w:rsid w:val="00EF4CEE"/>
    <w:rsid w:val="00F13877"/>
    <w:rsid w:val="00F209A6"/>
    <w:rsid w:val="00F227C8"/>
    <w:rsid w:val="00F321DA"/>
    <w:rsid w:val="00F330EE"/>
    <w:rsid w:val="00F355B3"/>
    <w:rsid w:val="00F44513"/>
    <w:rsid w:val="00F511A3"/>
    <w:rsid w:val="00F52A0B"/>
    <w:rsid w:val="00F73FB8"/>
    <w:rsid w:val="00F83818"/>
    <w:rsid w:val="00F87DBD"/>
    <w:rsid w:val="00F9015D"/>
    <w:rsid w:val="00F92095"/>
    <w:rsid w:val="00F93D47"/>
    <w:rsid w:val="00F95023"/>
    <w:rsid w:val="00F96280"/>
    <w:rsid w:val="00FB348C"/>
    <w:rsid w:val="00FC5FE1"/>
    <w:rsid w:val="00FD1D2D"/>
    <w:rsid w:val="00FD5C35"/>
    <w:rsid w:val="00FD6FAA"/>
    <w:rsid w:val="00FE3B6F"/>
    <w:rsid w:val="00FF2EE8"/>
    <w:rsid w:val="01C844C0"/>
    <w:rsid w:val="03B65ECE"/>
    <w:rsid w:val="086F5EF2"/>
    <w:rsid w:val="08F851BE"/>
    <w:rsid w:val="098F18F5"/>
    <w:rsid w:val="0BF11EBB"/>
    <w:rsid w:val="0D23343C"/>
    <w:rsid w:val="0D995460"/>
    <w:rsid w:val="0DDE77AC"/>
    <w:rsid w:val="0EFC2B92"/>
    <w:rsid w:val="0F28343A"/>
    <w:rsid w:val="0F7E254C"/>
    <w:rsid w:val="115E052C"/>
    <w:rsid w:val="143A2B96"/>
    <w:rsid w:val="152F21D3"/>
    <w:rsid w:val="16260BC7"/>
    <w:rsid w:val="16791E80"/>
    <w:rsid w:val="1CEE4B93"/>
    <w:rsid w:val="1E60303C"/>
    <w:rsid w:val="21620F93"/>
    <w:rsid w:val="22A64EFB"/>
    <w:rsid w:val="305B5E34"/>
    <w:rsid w:val="321E678F"/>
    <w:rsid w:val="331E74F2"/>
    <w:rsid w:val="37223F76"/>
    <w:rsid w:val="38F26D62"/>
    <w:rsid w:val="3B24561E"/>
    <w:rsid w:val="3B360A8A"/>
    <w:rsid w:val="3B6E6173"/>
    <w:rsid w:val="40F90B2E"/>
    <w:rsid w:val="43890C4B"/>
    <w:rsid w:val="44294261"/>
    <w:rsid w:val="46330F5E"/>
    <w:rsid w:val="4A3050D5"/>
    <w:rsid w:val="4C066FD6"/>
    <w:rsid w:val="4CDC6B89"/>
    <w:rsid w:val="4DF937ED"/>
    <w:rsid w:val="4E130CA3"/>
    <w:rsid w:val="4E865708"/>
    <w:rsid w:val="5C0B2717"/>
    <w:rsid w:val="5C412D39"/>
    <w:rsid w:val="657C246E"/>
    <w:rsid w:val="66EE3D99"/>
    <w:rsid w:val="67D501FF"/>
    <w:rsid w:val="680B3C02"/>
    <w:rsid w:val="695B07EF"/>
    <w:rsid w:val="6A9C7715"/>
    <w:rsid w:val="6AC643E0"/>
    <w:rsid w:val="6B533A08"/>
    <w:rsid w:val="6C6505C0"/>
    <w:rsid w:val="6EC70209"/>
    <w:rsid w:val="6F264A30"/>
    <w:rsid w:val="6F485E1D"/>
    <w:rsid w:val="71934666"/>
    <w:rsid w:val="73BF67FC"/>
    <w:rsid w:val="7473796D"/>
    <w:rsid w:val="74E0435E"/>
    <w:rsid w:val="75C707C2"/>
    <w:rsid w:val="7D602D39"/>
    <w:rsid w:val="7D741427"/>
    <w:rsid w:val="7D981C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uiPriority="99" w:name="footnote text" w:locked="1"/>
    <w:lsdException w:uiPriority="99" w:name="annotation text" w:locked="1"/>
    <w:lsdException w:qFormat="1" w:unhideWhenUsed="0" w:uiPriority="99" w:semiHidden="0" w:name="header"/>
    <w:lsdException w:qFormat="1" w:unhideWhenUsed="0" w:uiPriority="0"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semiHidden="0"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iPriority="0"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1"/>
    <w:basedOn w:val="1"/>
    <w:next w:val="1"/>
    <w:link w:val="17"/>
    <w:qFormat/>
    <w:uiPriority w:val="0"/>
    <w:pPr>
      <w:keepNext/>
      <w:keepLines/>
      <w:spacing w:line="360" w:lineRule="auto"/>
      <w:outlineLvl w:val="0"/>
    </w:pPr>
    <w:rPr>
      <w:rFonts w:ascii="Times New Roman" w:hAnsi="Times New Roman" w:eastAsia="宋体"/>
      <w:b/>
      <w:bCs/>
      <w:kern w:val="44"/>
      <w:szCs w:val="44"/>
    </w:rPr>
  </w:style>
  <w:style w:type="paragraph" w:styleId="2">
    <w:name w:val="heading 2"/>
    <w:basedOn w:val="1"/>
    <w:next w:val="1"/>
    <w:link w:val="25"/>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16"/>
    <w:qFormat/>
    <w:uiPriority w:val="0"/>
    <w:pPr>
      <w:keepNext/>
      <w:keepLines/>
      <w:adjustRightInd w:val="0"/>
      <w:snapToGrid w:val="0"/>
      <w:spacing w:line="360" w:lineRule="auto"/>
      <w:outlineLvl w:val="2"/>
    </w:pPr>
    <w:rPr>
      <w:rFonts w:eastAsia="宋体"/>
      <w:b/>
      <w:bCs/>
      <w:sz w:val="24"/>
      <w:szCs w:val="32"/>
    </w:rPr>
  </w:style>
  <w:style w:type="character" w:default="1" w:styleId="14">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locked/>
    <w:uiPriority w:val="0"/>
    <w:pPr>
      <w:ind w:firstLine="420" w:firstLineChars="200"/>
    </w:pPr>
  </w:style>
  <w:style w:type="paragraph" w:styleId="6">
    <w:name w:val="caption"/>
    <w:basedOn w:val="1"/>
    <w:next w:val="1"/>
    <w:semiHidden/>
    <w:unhideWhenUsed/>
    <w:qFormat/>
    <w:uiPriority w:val="0"/>
    <w:rPr>
      <w:rFonts w:eastAsia="黑体" w:asciiTheme="majorHAnsi" w:hAnsiTheme="majorHAnsi" w:cstheme="majorBidi"/>
      <w:sz w:val="20"/>
    </w:rPr>
  </w:style>
  <w:style w:type="paragraph" w:styleId="7">
    <w:name w:val="Body Text"/>
    <w:basedOn w:val="1"/>
    <w:link w:val="30"/>
    <w:qFormat/>
    <w:locked/>
    <w:uiPriority w:val="0"/>
    <w:pPr>
      <w:spacing w:after="120" w:line="360" w:lineRule="auto"/>
    </w:pPr>
    <w:rPr>
      <w:rFonts w:ascii="Times New Roman" w:hAnsi="Times New Roman" w:eastAsia="宋体"/>
      <w:sz w:val="24"/>
      <w:szCs w:val="24"/>
    </w:rPr>
  </w:style>
  <w:style w:type="paragraph" w:styleId="8">
    <w:name w:val="Body Text Indent"/>
    <w:basedOn w:val="1"/>
    <w:link w:val="22"/>
    <w:semiHidden/>
    <w:unhideWhenUsed/>
    <w:locked/>
    <w:uiPriority w:val="99"/>
    <w:pPr>
      <w:spacing w:after="120"/>
      <w:ind w:left="420" w:leftChars="200"/>
    </w:p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locked/>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8"/>
    <w:link w:val="23"/>
    <w:unhideWhenUsed/>
    <w:qFormat/>
    <w:locked/>
    <w:uiPriority w:val="0"/>
    <w:pPr>
      <w:ind w:firstLine="420" w:firstLineChars="200"/>
    </w:pPr>
    <w:rPr>
      <w:rFonts w:eastAsiaTheme="minorEastAsia" w:cstheme="minorBidi"/>
      <w:szCs w:val="22"/>
    </w:rPr>
  </w:style>
  <w:style w:type="character" w:styleId="15">
    <w:name w:val="page number"/>
    <w:basedOn w:val="14"/>
    <w:qFormat/>
    <w:uiPriority w:val="0"/>
    <w:rPr>
      <w:rFonts w:cs="Times New Roman"/>
    </w:rPr>
  </w:style>
  <w:style w:type="character" w:customStyle="1" w:styleId="16">
    <w:name w:val="标题 3 Char"/>
    <w:basedOn w:val="14"/>
    <w:link w:val="4"/>
    <w:qFormat/>
    <w:uiPriority w:val="0"/>
    <w:rPr>
      <w:b/>
      <w:bCs/>
      <w:kern w:val="2"/>
      <w:sz w:val="24"/>
      <w:szCs w:val="32"/>
    </w:rPr>
  </w:style>
  <w:style w:type="character" w:customStyle="1" w:styleId="17">
    <w:name w:val="标题 1 Char"/>
    <w:basedOn w:val="14"/>
    <w:link w:val="3"/>
    <w:qFormat/>
    <w:uiPriority w:val="0"/>
    <w:rPr>
      <w:rFonts w:ascii="Times New Roman" w:hAnsi="Times New Roman"/>
      <w:b/>
      <w:bCs/>
      <w:kern w:val="44"/>
      <w:sz w:val="32"/>
      <w:szCs w:val="44"/>
    </w:rPr>
  </w:style>
  <w:style w:type="character" w:customStyle="1" w:styleId="18">
    <w:name w:val="页脚 Char"/>
    <w:basedOn w:val="14"/>
    <w:link w:val="9"/>
    <w:qFormat/>
    <w:locked/>
    <w:uiPriority w:val="0"/>
    <w:rPr>
      <w:rFonts w:eastAsia="仿宋_GB2312" w:cs="Times New Roman"/>
      <w:sz w:val="18"/>
      <w:szCs w:val="18"/>
    </w:rPr>
  </w:style>
  <w:style w:type="character" w:customStyle="1" w:styleId="19">
    <w:name w:val="页眉 Char"/>
    <w:basedOn w:val="14"/>
    <w:link w:val="10"/>
    <w:semiHidden/>
    <w:qFormat/>
    <w:locked/>
    <w:uiPriority w:val="99"/>
    <w:rPr>
      <w:rFonts w:eastAsia="仿宋_GB2312" w:cs="Times New Roman"/>
      <w:sz w:val="18"/>
      <w:szCs w:val="18"/>
    </w:rPr>
  </w:style>
  <w:style w:type="character" w:customStyle="1" w:styleId="20">
    <w:name w:val="444 Char"/>
    <w:link w:val="21"/>
    <w:qFormat/>
    <w:locked/>
    <w:uiPriority w:val="99"/>
    <w:rPr>
      <w:rFonts w:eastAsia="仿宋_GB2312"/>
      <w:sz w:val="28"/>
    </w:rPr>
  </w:style>
  <w:style w:type="paragraph" w:customStyle="1" w:styleId="21">
    <w:name w:val="444"/>
    <w:basedOn w:val="1"/>
    <w:link w:val="20"/>
    <w:qFormat/>
    <w:uiPriority w:val="99"/>
    <w:pPr>
      <w:spacing w:line="360" w:lineRule="auto"/>
      <w:ind w:firstLine="560" w:firstLineChars="200"/>
    </w:pPr>
    <w:rPr>
      <w:kern w:val="0"/>
      <w:sz w:val="28"/>
    </w:rPr>
  </w:style>
  <w:style w:type="character" w:customStyle="1" w:styleId="22">
    <w:name w:val="正文文本缩进 Char"/>
    <w:basedOn w:val="14"/>
    <w:link w:val="8"/>
    <w:semiHidden/>
    <w:qFormat/>
    <w:uiPriority w:val="99"/>
    <w:rPr>
      <w:rFonts w:eastAsia="仿宋_GB2312"/>
      <w:kern w:val="2"/>
      <w:sz w:val="32"/>
    </w:rPr>
  </w:style>
  <w:style w:type="character" w:customStyle="1" w:styleId="23">
    <w:name w:val="正文首行缩进 2 Char"/>
    <w:basedOn w:val="22"/>
    <w:link w:val="12"/>
    <w:qFormat/>
    <w:uiPriority w:val="0"/>
    <w:rPr>
      <w:rFonts w:eastAsiaTheme="minorEastAsia" w:cstheme="minorBidi"/>
      <w:szCs w:val="22"/>
    </w:rPr>
  </w:style>
  <w:style w:type="paragraph" w:styleId="24">
    <w:name w:val="List Paragraph"/>
    <w:basedOn w:val="1"/>
    <w:unhideWhenUsed/>
    <w:qFormat/>
    <w:uiPriority w:val="99"/>
    <w:pPr>
      <w:ind w:firstLine="420" w:firstLineChars="200"/>
    </w:pPr>
    <w:rPr>
      <w:rFonts w:eastAsiaTheme="minorEastAsia" w:cstheme="minorBidi"/>
      <w:szCs w:val="22"/>
    </w:rPr>
  </w:style>
  <w:style w:type="character" w:customStyle="1" w:styleId="25">
    <w:name w:val="标题 2 Char"/>
    <w:basedOn w:val="14"/>
    <w:link w:val="2"/>
    <w:qFormat/>
    <w:uiPriority w:val="0"/>
    <w:rPr>
      <w:rFonts w:asciiTheme="majorHAnsi" w:hAnsiTheme="majorHAnsi" w:eastAsiaTheme="majorEastAsia" w:cstheme="majorBidi"/>
      <w:b/>
      <w:bCs/>
      <w:kern w:val="2"/>
      <w:sz w:val="32"/>
      <w:szCs w:val="32"/>
    </w:rPr>
  </w:style>
  <w:style w:type="paragraph" w:customStyle="1" w:styleId="26">
    <w:name w:val="列出段落1"/>
    <w:basedOn w:val="1"/>
    <w:qFormat/>
    <w:uiPriority w:val="0"/>
    <w:pPr>
      <w:ind w:firstLine="420" w:firstLineChars="200"/>
    </w:pPr>
    <w:rPr>
      <w:rFonts w:eastAsia="宋体"/>
    </w:rPr>
  </w:style>
  <w:style w:type="paragraph" w:customStyle="1" w:styleId="27">
    <w:name w:val="表格"/>
    <w:next w:val="1"/>
    <w:qFormat/>
    <w:uiPriority w:val="0"/>
    <w:pPr>
      <w:jc w:val="center"/>
    </w:pPr>
    <w:rPr>
      <w:rFonts w:ascii="Times New Roman" w:hAnsi="Times New Roman" w:eastAsia="宋体" w:cs="Times New Roman"/>
      <w:sz w:val="21"/>
      <w:szCs w:val="24"/>
      <w:lang w:val="en-US" w:eastAsia="zh-CN" w:bidi="ar-SA"/>
    </w:rPr>
  </w:style>
  <w:style w:type="paragraph" w:customStyle="1" w:styleId="28">
    <w:name w:val="Char Char Char1"/>
    <w:basedOn w:val="1"/>
    <w:qFormat/>
    <w:uiPriority w:val="0"/>
    <w:pPr>
      <w:widowControl/>
      <w:spacing w:after="160" w:line="240" w:lineRule="exact"/>
      <w:jc w:val="left"/>
    </w:pPr>
    <w:rPr>
      <w:rFonts w:ascii="Times New Roman" w:hAnsi="Times New Roman" w:eastAsia="宋体"/>
      <w:sz w:val="21"/>
    </w:rPr>
  </w:style>
  <w:style w:type="paragraph" w:customStyle="1" w:styleId="29">
    <w:name w:val="body text"/>
    <w:basedOn w:val="1"/>
    <w:qFormat/>
    <w:uiPriority w:val="0"/>
    <w:pPr>
      <w:ind w:left="104"/>
    </w:pPr>
    <w:rPr>
      <w:rFonts w:eastAsia="宋体"/>
      <w:sz w:val="24"/>
      <w:szCs w:val="24"/>
    </w:rPr>
  </w:style>
  <w:style w:type="character" w:customStyle="1" w:styleId="30">
    <w:name w:val="正文文本 Char"/>
    <w:basedOn w:val="14"/>
    <w:link w:val="7"/>
    <w:qFormat/>
    <w:uiPriority w:val="0"/>
    <w:rPr>
      <w:rFonts w:ascii="Times New Roman" w:hAnsi="Times New Roman"/>
      <w:kern w:val="2"/>
      <w:sz w:val="24"/>
      <w:szCs w:val="24"/>
    </w:rPr>
  </w:style>
  <w:style w:type="paragraph" w:customStyle="1" w:styleId="31">
    <w:name w:val="表格标题（海诚）"/>
    <w:link w:val="32"/>
    <w:qFormat/>
    <w:uiPriority w:val="0"/>
    <w:pPr>
      <w:spacing w:before="100" w:beforeAutospacing="1"/>
      <w:ind w:firstLine="480" w:firstLineChars="200"/>
      <w:jc w:val="both"/>
    </w:pPr>
    <w:rPr>
      <w:rFonts w:ascii="Times New Roman" w:hAnsi="Times New Roman" w:eastAsia="黑体" w:cs="Times New Roman"/>
      <w:kern w:val="2"/>
      <w:sz w:val="24"/>
      <w:lang w:val="en-US" w:eastAsia="zh-CN" w:bidi="ar-SA"/>
    </w:rPr>
  </w:style>
  <w:style w:type="character" w:customStyle="1" w:styleId="32">
    <w:name w:val="表格标题（海诚） Char"/>
    <w:link w:val="31"/>
    <w:qFormat/>
    <w:uiPriority w:val="0"/>
    <w:rPr>
      <w:rFonts w:eastAsia="黑体"/>
      <w:kern w:val="2"/>
      <w:sz w:val="24"/>
    </w:rPr>
  </w:style>
  <w:style w:type="paragraph" w:customStyle="1" w:styleId="33">
    <w:name w:val="Char Char Char11"/>
    <w:basedOn w:val="1"/>
    <w:qFormat/>
    <w:uiPriority w:val="0"/>
    <w:pPr>
      <w:widowControl/>
      <w:spacing w:after="160" w:line="240" w:lineRule="exact"/>
      <w:jc w:val="left"/>
    </w:pPr>
    <w:rPr>
      <w:rFonts w:ascii="Times New Roman" w:hAnsi="Times New Roman" w:eastAsia="仿宋"/>
      <w:sz w:val="28"/>
    </w:rPr>
  </w:style>
  <w:style w:type="character" w:customStyle="1" w:styleId="34">
    <w:name w:val="表格、图表名称 Char"/>
    <w:link w:val="35"/>
    <w:qFormat/>
    <w:uiPriority w:val="0"/>
    <w:rPr>
      <w:rFonts w:ascii="仿宋" w:hAnsi="仿宋" w:eastAsia="仿宋"/>
      <w:b/>
      <w:kern w:val="2"/>
      <w:sz w:val="24"/>
      <w:szCs w:val="21"/>
    </w:rPr>
  </w:style>
  <w:style w:type="paragraph" w:customStyle="1" w:styleId="35">
    <w:name w:val="表格、图表名称"/>
    <w:basedOn w:val="1"/>
    <w:link w:val="34"/>
    <w:qFormat/>
    <w:uiPriority w:val="0"/>
    <w:pPr>
      <w:spacing w:line="360" w:lineRule="auto"/>
      <w:jc w:val="center"/>
    </w:pPr>
    <w:rPr>
      <w:rFonts w:ascii="仿宋" w:hAnsi="仿宋" w:eastAsia="仿宋"/>
      <w:b/>
      <w:sz w:val="24"/>
      <w:szCs w:val="21"/>
    </w:rPr>
  </w:style>
  <w:style w:type="character" w:customStyle="1" w:styleId="36">
    <w:name w:val="表头 Char Char"/>
    <w:link w:val="37"/>
    <w:qFormat/>
    <w:uiPriority w:val="0"/>
    <w:rPr>
      <w:rFonts w:ascii="仿宋_GB2312" w:eastAsia="仿宋" w:cs="宋体"/>
      <w:b/>
      <w:spacing w:val="-10"/>
      <w:sz w:val="28"/>
    </w:rPr>
  </w:style>
  <w:style w:type="paragraph" w:customStyle="1" w:styleId="37">
    <w:name w:val="表头"/>
    <w:basedOn w:val="1"/>
    <w:next w:val="1"/>
    <w:link w:val="36"/>
    <w:qFormat/>
    <w:uiPriority w:val="0"/>
    <w:pPr>
      <w:adjustRightInd w:val="0"/>
      <w:spacing w:line="320" w:lineRule="atLeast"/>
      <w:ind w:firstLine="560" w:firstLineChars="200"/>
      <w:jc w:val="center"/>
    </w:pPr>
    <w:rPr>
      <w:rFonts w:ascii="仿宋_GB2312" w:hAnsi="Times New Roman" w:eastAsia="仿宋" w:cs="宋体"/>
      <w:b/>
      <w:spacing w:val="-10"/>
      <w:kern w:val="0"/>
      <w:sz w:val="28"/>
    </w:rPr>
  </w:style>
  <w:style w:type="paragraph" w:customStyle="1" w:styleId="38">
    <w:name w:val="！正文"/>
    <w:basedOn w:val="1"/>
    <w:qFormat/>
    <w:uiPriority w:val="0"/>
    <w:pPr>
      <w:spacing w:line="360" w:lineRule="auto"/>
      <w:ind w:firstLine="200" w:firstLineChars="200"/>
    </w:pPr>
    <w:rPr>
      <w:rFonts w:ascii="Times New Roman" w:hAnsi="Times New Roman" w:eastAsia="仿宋"/>
      <w:sz w:val="28"/>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F50CFB-CCE5-4574-9971-959CC442764A}">
  <ds:schemaRefs/>
</ds:datastoreItem>
</file>

<file path=docProps/app.xml><?xml version="1.0" encoding="utf-8"?>
<Properties xmlns="http://schemas.openxmlformats.org/officeDocument/2006/extended-properties" xmlns:vt="http://schemas.openxmlformats.org/officeDocument/2006/docPropsVTypes">
  <Template>Normal</Template>
  <Company>a</Company>
  <Pages>11</Pages>
  <Words>1244</Words>
  <Characters>7091</Characters>
  <Lines>59</Lines>
  <Paragraphs>16</Paragraphs>
  <TotalTime>13</TotalTime>
  <ScaleCrop>false</ScaleCrop>
  <LinksUpToDate>false</LinksUpToDate>
  <CharactersWithSpaces>8319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2020-11-30T14:32:00Z</dcterms:created>
  <dc:creator>cui</dc:creator>
  <cp:lastModifiedBy>晒太阳的咸鱼</cp:lastModifiedBy>
  <cp:lastPrinted>2021-05-18T14:38:00Z</cp:lastPrinted>
  <dcterms:modified xsi:type="dcterms:W3CDTF">2021-06-08T03:48:24Z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B4565089E8B54BBB8E6C4F226E635787</vt:lpwstr>
  </property>
</Properties>
</file>